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798" w:rsidRPr="00073F7F" w:rsidRDefault="00085136" w:rsidP="00742798">
      <w:pPr>
        <w:pStyle w:val="Default"/>
        <w:jc w:val="center"/>
        <w:rPr>
          <w:rFonts w:asciiTheme="minorHAnsi" w:hAnsiTheme="minorHAnsi" w:cstheme="minorHAnsi"/>
          <w:b/>
          <w:color w:val="FF0000"/>
        </w:rPr>
      </w:pPr>
      <w:r>
        <w:rPr>
          <w:rFonts w:asciiTheme="minorHAnsi" w:hAnsiTheme="minorHAnsi" w:cstheme="minorHAnsi"/>
          <w:b/>
          <w:color w:val="FF0000"/>
        </w:rPr>
        <w:t>RMI3011</w:t>
      </w:r>
    </w:p>
    <w:p w:rsidR="00AC56F2" w:rsidRPr="00073F7F" w:rsidRDefault="00E73483" w:rsidP="00742798">
      <w:pPr>
        <w:pStyle w:val="Default"/>
        <w:jc w:val="center"/>
        <w:rPr>
          <w:rFonts w:asciiTheme="minorHAnsi" w:hAnsiTheme="minorHAnsi" w:cstheme="minorHAnsi"/>
          <w:b/>
          <w:color w:val="FF0000"/>
        </w:rPr>
      </w:pPr>
      <w:r>
        <w:rPr>
          <w:rFonts w:asciiTheme="minorHAnsi" w:hAnsiTheme="minorHAnsi" w:cstheme="minorHAnsi"/>
          <w:b/>
          <w:color w:val="FF0000"/>
        </w:rPr>
        <w:t>85648</w:t>
      </w:r>
    </w:p>
    <w:p w:rsidR="00D02253" w:rsidRPr="00073F7F" w:rsidRDefault="00941072" w:rsidP="00D02253">
      <w:pPr>
        <w:pStyle w:val="Default"/>
        <w:jc w:val="center"/>
        <w:rPr>
          <w:rFonts w:asciiTheme="minorHAnsi" w:hAnsiTheme="minorHAnsi" w:cstheme="minorHAnsi"/>
          <w:b/>
          <w:color w:val="FF0000"/>
        </w:rPr>
      </w:pPr>
      <w:bookmarkStart w:id="0" w:name="_GoBack"/>
      <w:bookmarkEnd w:id="0"/>
      <w:r>
        <w:rPr>
          <w:rFonts w:asciiTheme="minorHAnsi" w:hAnsiTheme="minorHAnsi" w:cstheme="minorHAnsi"/>
          <w:b/>
          <w:noProof/>
          <w:color w:val="FF0000"/>
        </w:rPr>
        <w:pict>
          <v:shapetype id="_x0000_t202" coordsize="21600,21600" o:spt="202" path="m,l,21600r21600,l21600,xe">
            <v:stroke joinstyle="miter"/>
            <v:path gradientshapeok="t" o:connecttype="rect"/>
          </v:shapetype>
          <v:shape id="Text Box 2" o:spid="_x0000_s1026" type="#_x0000_t202" style="position:absolute;left:0;text-align:left;margin-left:-80.95pt;margin-top:-62.95pt;width:19.85pt;height:63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" filled="f" stroked="f">
            <v:textbox>
              <w:txbxContent>
                <w:p w:rsidR="00D721DA" w:rsidRPr="00B02085" w:rsidRDefault="00D721DA" w:rsidP="00D02253"/>
                <w:p w:rsidR="00D721DA" w:rsidRPr="00B02085" w:rsidRDefault="00D721DA" w:rsidP="00D02253"/>
              </w:txbxContent>
            </v:textbox>
          </v:shape>
        </w:pict>
      </w:r>
      <w:r>
        <w:rPr>
          <w:rFonts w:asciiTheme="minorHAnsi" w:hAnsiTheme="minorHAnsi" w:cstheme="minorHAnsi"/>
          <w:b/>
          <w:noProof/>
          <w:color w:val="FF0000"/>
        </w:rPr>
        <w:pict>
          <v:shape id="Text Box 3" o:spid="_x0000_s1027" type="#_x0000_t202" style="position:absolute;left:0;text-align:left;margin-left:325.1pt;margin-top:-62.95pt;width:19.85pt;height:63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KltQIAAL0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" filled="f" stroked="f">
            <v:textbox>
              <w:txbxContent>
                <w:p w:rsidR="00D721DA" w:rsidRPr="00B02085" w:rsidRDefault="00D721DA" w:rsidP="00D02253"/>
                <w:p w:rsidR="00D721DA" w:rsidRPr="00B02085" w:rsidRDefault="00D721DA" w:rsidP="00D02253"/>
              </w:txbxContent>
            </v:textbox>
          </v:shape>
        </w:pict>
      </w:r>
      <w:r w:rsidR="00085136">
        <w:rPr>
          <w:rFonts w:asciiTheme="minorHAnsi" w:hAnsiTheme="minorHAnsi" w:cstheme="minorHAnsi"/>
          <w:b/>
          <w:noProof/>
          <w:color w:val="FF0000"/>
        </w:rPr>
        <w:t>Risk Management and Insurance</w:t>
      </w:r>
    </w:p>
    <w:p w:rsidR="00742798" w:rsidRPr="00073F7F" w:rsidRDefault="00E73483" w:rsidP="00742798">
      <w:pPr>
        <w:pStyle w:val="Default"/>
        <w:jc w:val="center"/>
        <w:rPr>
          <w:rFonts w:asciiTheme="minorHAnsi" w:hAnsiTheme="minorHAnsi" w:cstheme="minorHAnsi"/>
          <w:b/>
          <w:color w:val="FF0000"/>
        </w:rPr>
      </w:pPr>
      <w:r>
        <w:rPr>
          <w:rFonts w:asciiTheme="minorHAnsi" w:hAnsiTheme="minorHAnsi" w:cstheme="minorHAnsi"/>
          <w:b/>
          <w:color w:val="FF0000"/>
        </w:rPr>
        <w:t>Fall</w:t>
      </w:r>
      <w:r w:rsidR="007B35F0">
        <w:rPr>
          <w:rFonts w:asciiTheme="minorHAnsi" w:hAnsiTheme="minorHAnsi" w:cstheme="minorHAnsi"/>
          <w:b/>
          <w:color w:val="FF0000"/>
        </w:rPr>
        <w:t xml:space="preserve"> 2013</w:t>
      </w:r>
    </w:p>
    <w:p w:rsidR="00C4325D" w:rsidRPr="00073F7F" w:rsidRDefault="007B35F0" w:rsidP="00742798">
      <w:pPr>
        <w:pStyle w:val="Default"/>
        <w:jc w:val="center"/>
        <w:rPr>
          <w:rFonts w:asciiTheme="minorHAnsi" w:hAnsiTheme="minorHAnsi" w:cstheme="minorHAnsi"/>
          <w:b/>
          <w:color w:val="FF0000"/>
        </w:rPr>
      </w:pPr>
      <w:r>
        <w:rPr>
          <w:rFonts w:asciiTheme="minorHAnsi" w:hAnsiTheme="minorHAnsi" w:cstheme="minorHAnsi"/>
          <w:b/>
          <w:color w:val="FF0000"/>
        </w:rPr>
        <w:t>BU109</w:t>
      </w:r>
    </w:p>
    <w:p w:rsidR="00C4325D" w:rsidRPr="00073F7F" w:rsidRDefault="007B35F0" w:rsidP="00742798">
      <w:pPr>
        <w:pStyle w:val="Default"/>
        <w:jc w:val="center"/>
        <w:rPr>
          <w:rFonts w:asciiTheme="minorHAnsi" w:hAnsiTheme="minorHAnsi" w:cstheme="minorHAnsi"/>
          <w:b/>
          <w:color w:val="FF0000"/>
        </w:rPr>
      </w:pPr>
      <w:r>
        <w:rPr>
          <w:rFonts w:asciiTheme="minorHAnsi" w:hAnsiTheme="minorHAnsi" w:cstheme="minorHAnsi"/>
          <w:b/>
          <w:color w:val="FF0000"/>
        </w:rPr>
        <w:t>T 7:10-10:00pm</w:t>
      </w:r>
    </w:p>
    <w:p w:rsidR="001B4975" w:rsidRPr="00073F7F" w:rsidRDefault="001B4975" w:rsidP="00742798">
      <w:pPr>
        <w:pStyle w:val="Default"/>
        <w:rPr>
          <w:rFonts w:asciiTheme="minorHAnsi" w:hAnsiTheme="minorHAnsi" w:cstheme="minorHAnsi"/>
          <w:b/>
        </w:rPr>
      </w:pPr>
    </w:p>
    <w:p w:rsidR="0080524F" w:rsidRPr="00073F7F" w:rsidRDefault="0080524F" w:rsidP="00742798">
      <w:pPr>
        <w:pStyle w:val="Default"/>
        <w:rPr>
          <w:rFonts w:asciiTheme="minorHAnsi" w:hAnsiTheme="minorHAnsi" w:cstheme="minorHAnsi"/>
        </w:rPr>
      </w:pPr>
    </w:p>
    <w:p w:rsidR="00742798" w:rsidRPr="00073F7F" w:rsidRDefault="00742798" w:rsidP="00742798">
      <w:pPr>
        <w:pStyle w:val="Default"/>
        <w:rPr>
          <w:rFonts w:asciiTheme="minorHAnsi" w:hAnsiTheme="minorHAnsi" w:cstheme="minorHAnsi"/>
          <w:b/>
          <w:u w:val="single"/>
        </w:rPr>
      </w:pPr>
      <w:r w:rsidRPr="00073F7F">
        <w:rPr>
          <w:rFonts w:asciiTheme="minorHAnsi" w:hAnsiTheme="minorHAnsi" w:cstheme="minorHAnsi"/>
          <w:b/>
          <w:u w:val="single"/>
        </w:rPr>
        <w:t>Professor Information</w:t>
      </w:r>
    </w:p>
    <w:p w:rsidR="00523130" w:rsidRDefault="000759AB" w:rsidP="00742798">
      <w:pPr>
        <w:pStyle w:val="Default"/>
        <w:rPr>
          <w:rFonts w:asciiTheme="minorHAnsi" w:hAnsiTheme="minorHAnsi" w:cstheme="minorHAnsi"/>
          <w:color w:val="FF0000"/>
        </w:rPr>
      </w:pPr>
      <w:proofErr w:type="spellStart"/>
      <w:r>
        <w:rPr>
          <w:rFonts w:asciiTheme="minorHAnsi" w:hAnsiTheme="minorHAnsi" w:cstheme="minorHAnsi"/>
          <w:color w:val="FF0000"/>
        </w:rPr>
        <w:t>Xxxxxx</w:t>
      </w:r>
      <w:proofErr w:type="spellEnd"/>
    </w:p>
    <w:p w:rsidR="000759AB" w:rsidRDefault="000759AB" w:rsidP="00742798">
      <w:pPr>
        <w:pStyle w:val="Default"/>
        <w:rPr>
          <w:rFonts w:asciiTheme="minorHAnsi" w:hAnsiTheme="minorHAnsi" w:cstheme="minorHAnsi"/>
          <w:color w:val="FF0000"/>
        </w:rPr>
      </w:pPr>
      <w:proofErr w:type="spellStart"/>
      <w:r>
        <w:rPr>
          <w:rFonts w:asciiTheme="minorHAnsi" w:hAnsiTheme="minorHAnsi" w:cstheme="minorHAnsi"/>
          <w:color w:val="FF0000"/>
        </w:rPr>
        <w:t>Xxxxxx</w:t>
      </w:r>
      <w:proofErr w:type="spellEnd"/>
    </w:p>
    <w:p w:rsidR="00097658" w:rsidRPr="00073F7F" w:rsidRDefault="00097658" w:rsidP="00742798">
      <w:pPr>
        <w:pStyle w:val="Default"/>
        <w:rPr>
          <w:rFonts w:asciiTheme="minorHAnsi" w:hAnsiTheme="minorHAnsi" w:cstheme="minorHAnsi"/>
        </w:rPr>
      </w:pPr>
    </w:p>
    <w:p w:rsidR="003C4ECA" w:rsidRPr="00073F7F" w:rsidRDefault="004F06DD" w:rsidP="003C4ECA">
      <w:pPr>
        <w:rPr>
          <w:rFonts w:asciiTheme="minorHAnsi" w:hAnsiTheme="minorHAnsi" w:cstheme="minorHAnsi"/>
          <w:b/>
          <w:szCs w:val="24"/>
          <w:u w:val="single"/>
        </w:rPr>
      </w:pPr>
      <w:r w:rsidRPr="00073F7F">
        <w:rPr>
          <w:rFonts w:asciiTheme="minorHAnsi" w:hAnsiTheme="minorHAnsi" w:cstheme="minorHAnsi"/>
          <w:b/>
          <w:szCs w:val="24"/>
          <w:u w:val="single"/>
        </w:rPr>
        <w:t xml:space="preserve">Office </w:t>
      </w:r>
      <w:r w:rsidR="003C4ECA" w:rsidRPr="00073F7F">
        <w:rPr>
          <w:rFonts w:asciiTheme="minorHAnsi" w:hAnsiTheme="minorHAnsi" w:cstheme="minorHAnsi"/>
          <w:b/>
          <w:szCs w:val="24"/>
          <w:u w:val="single"/>
        </w:rPr>
        <w:t>Hours</w:t>
      </w:r>
    </w:p>
    <w:p w:rsidR="000E7E87" w:rsidRDefault="000759AB" w:rsidP="000E7E87">
      <w:pPr>
        <w:rPr>
          <w:rFonts w:asciiTheme="minorHAnsi" w:hAnsiTheme="minorHAnsi" w:cstheme="minorHAnsi"/>
          <w:color w:val="FF0000"/>
          <w:szCs w:val="24"/>
        </w:rPr>
      </w:pPr>
      <w:proofErr w:type="spellStart"/>
      <w:r>
        <w:rPr>
          <w:rFonts w:asciiTheme="minorHAnsi" w:hAnsiTheme="minorHAnsi" w:cstheme="minorHAnsi"/>
          <w:color w:val="FF0000"/>
          <w:szCs w:val="24"/>
        </w:rPr>
        <w:t>Xxxxx</w:t>
      </w:r>
      <w:proofErr w:type="spellEnd"/>
    </w:p>
    <w:p w:rsidR="000759AB" w:rsidRPr="00073F7F" w:rsidRDefault="000759AB" w:rsidP="000E7E87">
      <w:pPr>
        <w:rPr>
          <w:rFonts w:asciiTheme="minorHAnsi" w:hAnsiTheme="minorHAnsi" w:cstheme="minorHAnsi"/>
          <w:color w:val="FF0000"/>
          <w:szCs w:val="24"/>
        </w:rPr>
      </w:pPr>
      <w:proofErr w:type="spellStart"/>
      <w:proofErr w:type="gramStart"/>
      <w:r>
        <w:rPr>
          <w:rFonts w:asciiTheme="minorHAnsi" w:hAnsiTheme="minorHAnsi" w:cstheme="minorHAnsi"/>
          <w:color w:val="FF0000"/>
          <w:szCs w:val="24"/>
        </w:rPr>
        <w:t>xxxxx</w:t>
      </w:r>
      <w:proofErr w:type="spellEnd"/>
      <w:proofErr w:type="gramEnd"/>
    </w:p>
    <w:p w:rsidR="00523130" w:rsidRPr="00073F7F" w:rsidRDefault="00523130" w:rsidP="000E7E87">
      <w:pPr>
        <w:rPr>
          <w:rFonts w:asciiTheme="minorHAnsi" w:hAnsiTheme="minorHAnsi" w:cstheme="minorHAnsi"/>
          <w:szCs w:val="24"/>
        </w:rPr>
      </w:pPr>
    </w:p>
    <w:p w:rsidR="00A50C8E" w:rsidRPr="00073F7F" w:rsidRDefault="00B71CDE" w:rsidP="00A50C8E">
      <w:pPr>
        <w:pStyle w:val="Heading1"/>
        <w:tabs>
          <w:tab w:val="left" w:pos="720"/>
        </w:tabs>
        <w:rPr>
          <w:rFonts w:asciiTheme="minorHAnsi" w:hAnsiTheme="minorHAnsi" w:cstheme="minorHAnsi"/>
          <w:bCs/>
          <w:szCs w:val="24"/>
          <w:u w:val="single"/>
        </w:rPr>
      </w:pPr>
      <w:r w:rsidRPr="00073F7F">
        <w:rPr>
          <w:rFonts w:asciiTheme="minorHAnsi" w:hAnsiTheme="minorHAnsi" w:cstheme="minorHAnsi"/>
          <w:szCs w:val="24"/>
          <w:u w:val="single"/>
        </w:rPr>
        <w:t>Required Text and M</w:t>
      </w:r>
      <w:r w:rsidR="00097658" w:rsidRPr="00073F7F">
        <w:rPr>
          <w:rFonts w:asciiTheme="minorHAnsi" w:hAnsiTheme="minorHAnsi" w:cstheme="minorHAnsi"/>
          <w:szCs w:val="24"/>
          <w:u w:val="single"/>
        </w:rPr>
        <w:t>aterials</w:t>
      </w:r>
    </w:p>
    <w:p w:rsidR="007B35F0" w:rsidRPr="00A41093" w:rsidRDefault="007B35F0" w:rsidP="007B35F0">
      <w:pPr>
        <w:jc w:val="both"/>
      </w:pPr>
      <w:proofErr w:type="gramStart"/>
      <w:r>
        <w:t xml:space="preserve">George E. </w:t>
      </w:r>
      <w:proofErr w:type="spellStart"/>
      <w:r>
        <w:t>Rejda</w:t>
      </w:r>
      <w:proofErr w:type="spellEnd"/>
      <w:r>
        <w:t>, Principles of R</w:t>
      </w:r>
      <w:r w:rsidR="00E73483">
        <w:t>isk Management and Insurance, 12</w:t>
      </w:r>
      <w:r w:rsidRPr="00AF32A5">
        <w:rPr>
          <w:vertAlign w:val="superscript"/>
        </w:rPr>
        <w:t>th</w:t>
      </w:r>
      <w:r w:rsidR="00E73483">
        <w:t xml:space="preserve"> Edition, 2011, Pearson</w:t>
      </w:r>
      <w:r>
        <w:t>.</w:t>
      </w:r>
      <w:proofErr w:type="gramEnd"/>
    </w:p>
    <w:p w:rsidR="00C4325D" w:rsidRPr="00073F7F" w:rsidRDefault="00C4325D" w:rsidP="00A50C8E">
      <w:pPr>
        <w:pStyle w:val="Style2"/>
        <w:widowControl/>
        <w:spacing w:line="213" w:lineRule="auto"/>
        <w:ind w:right="72"/>
        <w:rPr>
          <w:rFonts w:asciiTheme="minorHAnsi" w:hAnsiTheme="minorHAnsi" w:cstheme="minorHAnsi"/>
          <w:bCs/>
          <w:szCs w:val="24"/>
        </w:rPr>
      </w:pPr>
    </w:p>
    <w:p w:rsidR="00D02253" w:rsidRPr="00073F7F" w:rsidRDefault="003E5FF2" w:rsidP="00A50C8E">
      <w:pPr>
        <w:pStyle w:val="Style2"/>
        <w:widowControl/>
        <w:spacing w:line="213" w:lineRule="auto"/>
        <w:ind w:right="72"/>
        <w:rPr>
          <w:rStyle w:val="collegetextb"/>
          <w:rFonts w:asciiTheme="minorHAnsi" w:hAnsiTheme="minorHAnsi" w:cstheme="minorHAnsi"/>
          <w:szCs w:val="24"/>
        </w:rPr>
      </w:pPr>
      <w:r w:rsidRPr="00073F7F">
        <w:rPr>
          <w:rStyle w:val="collegetextb"/>
          <w:rFonts w:asciiTheme="minorHAnsi" w:hAnsiTheme="minorHAnsi" w:cstheme="minorHAnsi"/>
          <w:b/>
          <w:szCs w:val="24"/>
          <w:u w:val="single"/>
        </w:rPr>
        <w:t>Course Description</w:t>
      </w:r>
    </w:p>
    <w:p w:rsidR="007B35F0" w:rsidRDefault="007B35F0" w:rsidP="007B35F0">
      <w:pPr>
        <w:jc w:val="both"/>
      </w:pPr>
      <w:r>
        <w:t xml:space="preserve">This course is designed to provide students with a solid background in risk management and insurance. It discusses all the different types of risks including property risk, liability risk, personal risks, and speculative risks such as financial risks, covers risk management techniques including risk control and risk financing with a focus on insurance policies, and also presents other major topics in personal financial planning, social insurance and social security, insurance operations and regulations, reinsurance, and innovative capital market financing plans. Consideration is given mostly to the personal line risk management and insurance, including personal property and liability insurance such as auto insurance and home insurance, life insurance, and health insurance. This course also presents an overview of the commercial line property and liability insurance. </w:t>
      </w:r>
    </w:p>
    <w:p w:rsidR="00823A22" w:rsidRPr="00073F7F" w:rsidRDefault="00823A22" w:rsidP="003F3E36">
      <w:pPr>
        <w:rPr>
          <w:rFonts w:asciiTheme="minorHAnsi" w:hAnsiTheme="minorHAnsi" w:cstheme="minorHAnsi"/>
          <w:color w:val="FF0000"/>
          <w:szCs w:val="24"/>
          <w:u w:val="single"/>
        </w:rPr>
      </w:pPr>
    </w:p>
    <w:p w:rsidR="00156130" w:rsidRPr="00073F7F" w:rsidRDefault="00156130" w:rsidP="003F3E36">
      <w:pPr>
        <w:rPr>
          <w:rFonts w:asciiTheme="minorHAnsi" w:hAnsiTheme="minorHAnsi" w:cstheme="minorHAnsi"/>
          <w:b/>
          <w:szCs w:val="24"/>
          <w:u w:val="single"/>
        </w:rPr>
      </w:pPr>
      <w:r w:rsidRPr="00073F7F">
        <w:rPr>
          <w:rFonts w:asciiTheme="minorHAnsi" w:hAnsiTheme="minorHAnsi" w:cstheme="minorHAnsi"/>
          <w:b/>
          <w:szCs w:val="24"/>
          <w:u w:val="single"/>
        </w:rPr>
        <w:t>Course Prerequisites and Credit Hours</w:t>
      </w:r>
    </w:p>
    <w:p w:rsidR="001F0B81" w:rsidRPr="00522E22" w:rsidRDefault="001F0B81" w:rsidP="001F0B81">
      <w:proofErr w:type="gramStart"/>
      <w:r>
        <w:t>Junior standing or higher; 3 credits.</w:t>
      </w:r>
      <w:proofErr w:type="gramEnd"/>
      <w:r>
        <w:t xml:space="preserve"> </w:t>
      </w:r>
    </w:p>
    <w:p w:rsidR="00B71CDE" w:rsidRDefault="00B71CDE" w:rsidP="003F3E36">
      <w:pPr>
        <w:rPr>
          <w:rFonts w:asciiTheme="minorHAnsi" w:hAnsiTheme="minorHAnsi" w:cstheme="minorHAnsi"/>
          <w:szCs w:val="24"/>
        </w:rPr>
      </w:pPr>
    </w:p>
    <w:p w:rsidR="0008238B" w:rsidRPr="0008238B" w:rsidRDefault="0008238B" w:rsidP="0008238B">
      <w:pPr>
        <w:rPr>
          <w:color w:val="000000"/>
          <w:szCs w:val="24"/>
        </w:rPr>
      </w:pPr>
      <w:r w:rsidRPr="0008238B">
        <w:rPr>
          <w:color w:val="000000"/>
          <w:szCs w:val="24"/>
        </w:rPr>
        <w:t xml:space="preserve">According to Florida State Statute 6A-10.033, students must spend a minimum of 37.5 hours of </w:t>
      </w:r>
      <w:r w:rsidRPr="0008238B">
        <w:rPr>
          <w:b/>
          <w:color w:val="000000"/>
          <w:szCs w:val="24"/>
        </w:rPr>
        <w:t>in class</w:t>
      </w:r>
      <w:r w:rsidRPr="0008238B">
        <w:rPr>
          <w:color w:val="000000"/>
          <w:szCs w:val="24"/>
        </w:rPr>
        <w:t xml:space="preserve"> time during a 3-credit course. Additionally, students enrolled in a 3-credit course are expected to spend a minimum of 75 hours of  </w:t>
      </w:r>
      <w:r w:rsidRPr="0008238B">
        <w:rPr>
          <w:b/>
          <w:color w:val="000000"/>
          <w:szCs w:val="24"/>
        </w:rPr>
        <w:t>out-of-class-time</w:t>
      </w:r>
      <w:r w:rsidRPr="0008238B">
        <w:rPr>
          <w:color w:val="000000"/>
          <w:szCs w:val="24"/>
        </w:rPr>
        <w:t xml:space="preserve"> specifically working on course-related activities (i.e., reading assigned pieces, completing homework, preparing for exams and other assessments, reviewing class notes, etc.) and fulfilling any other class activities or duties as required.</w:t>
      </w:r>
    </w:p>
    <w:p w:rsidR="0008238B" w:rsidRPr="00073F7F" w:rsidRDefault="0008238B" w:rsidP="003F3E36">
      <w:pPr>
        <w:rPr>
          <w:rFonts w:asciiTheme="minorHAnsi" w:hAnsiTheme="minorHAnsi" w:cstheme="minorHAnsi"/>
          <w:szCs w:val="24"/>
        </w:rPr>
      </w:pPr>
    </w:p>
    <w:p w:rsidR="00B71CDE" w:rsidRPr="00073F7F" w:rsidRDefault="00B71CDE" w:rsidP="003F3E36">
      <w:pPr>
        <w:rPr>
          <w:rFonts w:asciiTheme="minorHAnsi" w:hAnsiTheme="minorHAnsi" w:cstheme="minorHAnsi"/>
          <w:b/>
          <w:szCs w:val="24"/>
          <w:u w:val="single"/>
        </w:rPr>
      </w:pPr>
      <w:r w:rsidRPr="00073F7F">
        <w:rPr>
          <w:rFonts w:asciiTheme="minorHAnsi" w:hAnsiTheme="minorHAnsi" w:cstheme="minorHAnsi"/>
          <w:b/>
          <w:szCs w:val="24"/>
          <w:u w:val="single"/>
        </w:rPr>
        <w:t>Course Learning Objectives</w:t>
      </w:r>
    </w:p>
    <w:p w:rsidR="001F0B81" w:rsidRDefault="001F0B81" w:rsidP="001F0B81">
      <w:pPr>
        <w:autoSpaceDE w:val="0"/>
        <w:autoSpaceDN w:val="0"/>
        <w:adjustRightInd w:val="0"/>
      </w:pPr>
      <w:r>
        <w:rPr>
          <w:color w:val="000000"/>
        </w:rPr>
        <w:t>This course</w:t>
      </w:r>
      <w:r w:rsidRPr="00F63387">
        <w:rPr>
          <w:color w:val="000000"/>
        </w:rPr>
        <w:t xml:space="preserve"> prepare</w:t>
      </w:r>
      <w:r>
        <w:rPr>
          <w:color w:val="000000"/>
        </w:rPr>
        <w:t>s</w:t>
      </w:r>
      <w:r w:rsidRPr="00F63387">
        <w:rPr>
          <w:color w:val="000000"/>
        </w:rPr>
        <w:t xml:space="preserve"> the students for </w:t>
      </w:r>
      <w:r>
        <w:rPr>
          <w:color w:val="000000"/>
        </w:rPr>
        <w:t xml:space="preserve">some of </w:t>
      </w:r>
      <w:r w:rsidRPr="00F63387">
        <w:rPr>
          <w:color w:val="000000"/>
        </w:rPr>
        <w:t>the world’s most respected professional designations in financial service</w:t>
      </w:r>
      <w:r>
        <w:rPr>
          <w:color w:val="000000"/>
        </w:rPr>
        <w:t xml:space="preserve">s such as </w:t>
      </w:r>
      <w:r w:rsidRPr="00F63387">
        <w:t>Certified Financial Planner (CFP)</w:t>
      </w:r>
      <w:r>
        <w:t xml:space="preserve">, </w:t>
      </w:r>
      <w:r w:rsidRPr="00F63387">
        <w:t>Chartered Property Casualty Underwriter (CPCU)</w:t>
      </w:r>
      <w:r>
        <w:t xml:space="preserve">, </w:t>
      </w:r>
      <w:r w:rsidRPr="00F63387">
        <w:t xml:space="preserve">and Chartered Life Underwriter (CLU). </w:t>
      </w:r>
      <w:r>
        <w:t>It is a required course comprising the Graduate and Undergraduate Certificate program in Risk Management and Insurance and is an elective for both graduate and undergraduate students.</w:t>
      </w:r>
      <w:r w:rsidRPr="007D1797">
        <w:rPr>
          <w:color w:val="000000"/>
        </w:rPr>
        <w:t xml:space="preserve"> </w:t>
      </w:r>
      <w:r>
        <w:rPr>
          <w:color w:val="000000"/>
        </w:rPr>
        <w:t>This course is ideal for everyone who would like to obtain a deep understanding of insurance and risk management.</w:t>
      </w:r>
    </w:p>
    <w:p w:rsidR="001F0B81" w:rsidRDefault="001F0B81" w:rsidP="001F0B81">
      <w:pPr>
        <w:jc w:val="both"/>
      </w:pPr>
    </w:p>
    <w:p w:rsidR="001F0B81" w:rsidRPr="001F0B81" w:rsidRDefault="001F0B81" w:rsidP="001F0B81">
      <w:pPr>
        <w:jc w:val="both"/>
      </w:pPr>
      <w:r w:rsidRPr="001F0B81">
        <w:t>The students will learn the following topics:</w:t>
      </w:r>
    </w:p>
    <w:p w:rsidR="001F0B81" w:rsidRDefault="001F0B81" w:rsidP="001F0B81">
      <w:pPr>
        <w:numPr>
          <w:ilvl w:val="0"/>
          <w:numId w:val="12"/>
        </w:numPr>
        <w:jc w:val="both"/>
      </w:pPr>
      <w:r>
        <w:t>Risks and risk management techniques;</w:t>
      </w:r>
    </w:p>
    <w:p w:rsidR="001F0B81" w:rsidRDefault="001F0B81" w:rsidP="001F0B81">
      <w:pPr>
        <w:numPr>
          <w:ilvl w:val="0"/>
          <w:numId w:val="12"/>
        </w:numPr>
        <w:jc w:val="both"/>
      </w:pPr>
      <w:r>
        <w:t>Insurance principles and contracts;</w:t>
      </w:r>
    </w:p>
    <w:p w:rsidR="001F0B81" w:rsidRDefault="001F0B81" w:rsidP="001F0B81">
      <w:pPr>
        <w:numPr>
          <w:ilvl w:val="0"/>
          <w:numId w:val="12"/>
        </w:numPr>
        <w:jc w:val="both"/>
      </w:pPr>
      <w:r>
        <w:t>Social Security and social insurance;</w:t>
      </w:r>
    </w:p>
    <w:p w:rsidR="001F0B81" w:rsidRDefault="001F0B81" w:rsidP="001F0B81">
      <w:pPr>
        <w:numPr>
          <w:ilvl w:val="0"/>
          <w:numId w:val="12"/>
        </w:numPr>
        <w:jc w:val="both"/>
      </w:pPr>
      <w:r>
        <w:t>Personal financial planning;</w:t>
      </w:r>
    </w:p>
    <w:p w:rsidR="001F0B81" w:rsidRDefault="001F0B81" w:rsidP="001F0B81">
      <w:pPr>
        <w:numPr>
          <w:ilvl w:val="0"/>
          <w:numId w:val="12"/>
        </w:numPr>
        <w:jc w:val="both"/>
      </w:pPr>
      <w:r>
        <w:t>Insurers organizations, operations, and regulations;</w:t>
      </w:r>
    </w:p>
    <w:p w:rsidR="001F0B81" w:rsidRDefault="001F0B81" w:rsidP="001F0B81">
      <w:pPr>
        <w:numPr>
          <w:ilvl w:val="0"/>
          <w:numId w:val="12"/>
        </w:numPr>
        <w:jc w:val="both"/>
      </w:pPr>
      <w:r>
        <w:t>Personal property and liability insurance;</w:t>
      </w:r>
    </w:p>
    <w:p w:rsidR="001F0B81" w:rsidRDefault="001F0B81" w:rsidP="001F0B81">
      <w:pPr>
        <w:numPr>
          <w:ilvl w:val="0"/>
          <w:numId w:val="12"/>
        </w:numPr>
        <w:jc w:val="both"/>
      </w:pPr>
      <w:r>
        <w:t>Life and health insurance;</w:t>
      </w:r>
    </w:p>
    <w:p w:rsidR="001F0B81" w:rsidRDefault="001F0B81" w:rsidP="001F0B81">
      <w:pPr>
        <w:numPr>
          <w:ilvl w:val="0"/>
          <w:numId w:val="12"/>
        </w:numPr>
        <w:jc w:val="both"/>
      </w:pPr>
      <w:r>
        <w:t>Commercial property and liability insurance;</w:t>
      </w:r>
    </w:p>
    <w:p w:rsidR="001F0B81" w:rsidRDefault="001F0B81" w:rsidP="001F0B81">
      <w:pPr>
        <w:numPr>
          <w:ilvl w:val="0"/>
          <w:numId w:val="12"/>
        </w:numPr>
        <w:jc w:val="both"/>
      </w:pPr>
      <w:r>
        <w:t>Reinsurance;</w:t>
      </w:r>
    </w:p>
    <w:p w:rsidR="001F0B81" w:rsidRDefault="001F0B81" w:rsidP="001F0B81">
      <w:pPr>
        <w:jc w:val="both"/>
      </w:pPr>
      <w:r>
        <w:t xml:space="preserve">      (10) Capital market risk financing plans. </w:t>
      </w:r>
    </w:p>
    <w:p w:rsidR="00850B3E" w:rsidRPr="00073F7F" w:rsidRDefault="00850B3E"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bCs/>
          <w:szCs w:val="24"/>
        </w:rPr>
      </w:pPr>
    </w:p>
    <w:p w:rsidR="00A50C8E" w:rsidRDefault="00850B3E" w:rsidP="00850B3E">
      <w:pPr>
        <w:spacing w:line="276" w:lineRule="auto"/>
        <w:rPr>
          <w:rFonts w:asciiTheme="minorHAnsi" w:hAnsiTheme="minorHAnsi" w:cstheme="minorHAnsi"/>
          <w:b/>
          <w:bCs/>
          <w:szCs w:val="24"/>
          <w:u w:val="single"/>
        </w:rPr>
      </w:pPr>
      <w:r w:rsidRPr="00073F7F">
        <w:rPr>
          <w:rFonts w:asciiTheme="minorHAnsi" w:hAnsiTheme="minorHAnsi" w:cstheme="minorHAnsi"/>
          <w:b/>
          <w:bCs/>
          <w:szCs w:val="24"/>
          <w:u w:val="single"/>
        </w:rPr>
        <w:t>Course Evaluation Method</w:t>
      </w:r>
    </w:p>
    <w:p w:rsidR="00171FEF" w:rsidRPr="00073F7F" w:rsidRDefault="00171FEF" w:rsidP="00850B3E">
      <w:pPr>
        <w:spacing w:line="276" w:lineRule="auto"/>
        <w:rPr>
          <w:rFonts w:asciiTheme="minorHAnsi" w:hAnsiTheme="minorHAnsi" w:cstheme="minorHAnsi"/>
          <w:b/>
          <w:bCs/>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7"/>
        <w:gridCol w:w="2656"/>
      </w:tblGrid>
      <w:tr w:rsidR="00171FEF" w:rsidRPr="00A95CA9" w:rsidTr="00C56E88">
        <w:trPr>
          <w:trHeight w:val="277"/>
        </w:trPr>
        <w:tc>
          <w:tcPr>
            <w:tcW w:w="1457" w:type="dxa"/>
          </w:tcPr>
          <w:p w:rsidR="00171FEF" w:rsidRPr="00A95CA9" w:rsidRDefault="00171FEF" w:rsidP="00C56E88">
            <w:r>
              <w:t>Exam I</w:t>
            </w:r>
          </w:p>
        </w:tc>
        <w:tc>
          <w:tcPr>
            <w:tcW w:w="2656" w:type="dxa"/>
          </w:tcPr>
          <w:p w:rsidR="00171FEF" w:rsidRPr="00A95CA9" w:rsidRDefault="00171FEF" w:rsidP="00C56E88">
            <w:r>
              <w:t>29% of total grade</w:t>
            </w:r>
          </w:p>
        </w:tc>
      </w:tr>
      <w:tr w:rsidR="00171FEF" w:rsidRPr="00A95CA9" w:rsidTr="00C56E88">
        <w:trPr>
          <w:trHeight w:val="277"/>
        </w:trPr>
        <w:tc>
          <w:tcPr>
            <w:tcW w:w="1457" w:type="dxa"/>
          </w:tcPr>
          <w:p w:rsidR="00171FEF" w:rsidRPr="00A95CA9" w:rsidRDefault="00171FEF" w:rsidP="00C56E88">
            <w:r>
              <w:t>Exam II</w:t>
            </w:r>
          </w:p>
        </w:tc>
        <w:tc>
          <w:tcPr>
            <w:tcW w:w="2656" w:type="dxa"/>
          </w:tcPr>
          <w:p w:rsidR="00171FEF" w:rsidRPr="00A95CA9" w:rsidRDefault="00171FEF" w:rsidP="00C56E88">
            <w:r>
              <w:t>29% of total grade</w:t>
            </w:r>
          </w:p>
        </w:tc>
      </w:tr>
      <w:tr w:rsidR="00171FEF" w:rsidRPr="00A95CA9" w:rsidTr="00C56E88">
        <w:trPr>
          <w:trHeight w:val="277"/>
        </w:trPr>
        <w:tc>
          <w:tcPr>
            <w:tcW w:w="1457" w:type="dxa"/>
          </w:tcPr>
          <w:p w:rsidR="00171FEF" w:rsidRPr="00A95CA9" w:rsidRDefault="00171FEF" w:rsidP="00C56E88">
            <w:r>
              <w:t>Final</w:t>
            </w:r>
          </w:p>
        </w:tc>
        <w:tc>
          <w:tcPr>
            <w:tcW w:w="2656" w:type="dxa"/>
          </w:tcPr>
          <w:p w:rsidR="00171FEF" w:rsidRPr="00A95CA9" w:rsidRDefault="00171FEF" w:rsidP="00C56E88">
            <w:r>
              <w:t>33% of total grade</w:t>
            </w:r>
          </w:p>
        </w:tc>
      </w:tr>
      <w:tr w:rsidR="00171FEF" w:rsidRPr="00A95CA9" w:rsidTr="00C56E88">
        <w:trPr>
          <w:trHeight w:val="277"/>
        </w:trPr>
        <w:tc>
          <w:tcPr>
            <w:tcW w:w="1457" w:type="dxa"/>
          </w:tcPr>
          <w:p w:rsidR="00171FEF" w:rsidRDefault="00171FEF" w:rsidP="00C56E88">
            <w:r>
              <w:t>Essays</w:t>
            </w:r>
          </w:p>
        </w:tc>
        <w:tc>
          <w:tcPr>
            <w:tcW w:w="2656" w:type="dxa"/>
          </w:tcPr>
          <w:p w:rsidR="00171FEF" w:rsidRDefault="00171FEF" w:rsidP="00C56E88">
            <w:r>
              <w:t>6% of total grade</w:t>
            </w:r>
          </w:p>
        </w:tc>
      </w:tr>
      <w:tr w:rsidR="00171FEF" w:rsidRPr="00A95CA9" w:rsidTr="00C56E88">
        <w:trPr>
          <w:trHeight w:val="277"/>
        </w:trPr>
        <w:tc>
          <w:tcPr>
            <w:tcW w:w="1457" w:type="dxa"/>
          </w:tcPr>
          <w:p w:rsidR="00171FEF" w:rsidRDefault="00171FEF" w:rsidP="00C56E88">
            <w:r>
              <w:t>Attendance</w:t>
            </w:r>
          </w:p>
        </w:tc>
        <w:tc>
          <w:tcPr>
            <w:tcW w:w="2656" w:type="dxa"/>
          </w:tcPr>
          <w:p w:rsidR="00171FEF" w:rsidRDefault="00171FEF" w:rsidP="00C56E88">
            <w:r>
              <w:t>See “Class Participation</w:t>
            </w:r>
          </w:p>
        </w:tc>
      </w:tr>
    </w:tbl>
    <w:p w:rsidR="00171FEF" w:rsidRDefault="00171FEF" w:rsidP="00171F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38"/>
        <w:gridCol w:w="738"/>
        <w:gridCol w:w="738"/>
        <w:gridCol w:w="738"/>
        <w:gridCol w:w="738"/>
        <w:gridCol w:w="738"/>
        <w:gridCol w:w="738"/>
        <w:gridCol w:w="738"/>
        <w:gridCol w:w="738"/>
        <w:gridCol w:w="738"/>
        <w:gridCol w:w="738"/>
      </w:tblGrid>
      <w:tr w:rsidR="00171FEF" w:rsidRPr="002A2BFB" w:rsidTr="00C56E88">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A</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A-</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B+</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B</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B-</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C+</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C</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C-</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D+</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D</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D-</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F</w:t>
            </w:r>
          </w:p>
        </w:tc>
      </w:tr>
      <w:tr w:rsidR="00171FEF" w:rsidRPr="002A2BFB" w:rsidTr="00C56E88">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95-100</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90-94</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87-89</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83-86</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80-82</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77-79</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73-76</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70-72</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67-69</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63-66</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60-62</w:t>
            </w:r>
          </w:p>
        </w:tc>
        <w:tc>
          <w:tcPr>
            <w:tcW w:w="738" w:type="dxa"/>
            <w:tcBorders>
              <w:top w:val="single" w:sz="4" w:space="0" w:color="auto"/>
              <w:left w:val="single" w:sz="4" w:space="0" w:color="auto"/>
              <w:bottom w:val="single" w:sz="4" w:space="0" w:color="auto"/>
              <w:right w:val="single" w:sz="4" w:space="0" w:color="auto"/>
            </w:tcBorders>
            <w:hideMark/>
          </w:tcPr>
          <w:p w:rsidR="00171FEF" w:rsidRDefault="00171FEF" w:rsidP="00C56E88">
            <w:pPr>
              <w:jc w:val="both"/>
            </w:pPr>
            <w:r>
              <w:t>0-59</w:t>
            </w:r>
          </w:p>
        </w:tc>
      </w:tr>
    </w:tbl>
    <w:p w:rsidR="00171FEF" w:rsidRDefault="00171FEF" w:rsidP="00171FEF"/>
    <w:p w:rsidR="00171FEF" w:rsidRDefault="00171FEF" w:rsidP="00171FEF">
      <w:pPr>
        <w:jc w:val="both"/>
      </w:pPr>
      <w:r>
        <w:t>Your letter grade for the course will be based on your final average and on your efforts that I consider reasonable.</w:t>
      </w:r>
    </w:p>
    <w:p w:rsidR="00850B3E" w:rsidRPr="00073F7F" w:rsidRDefault="00850B3E" w:rsidP="00850B3E">
      <w:pPr>
        <w:spacing w:line="276" w:lineRule="auto"/>
        <w:rPr>
          <w:rFonts w:asciiTheme="minorHAnsi" w:hAnsiTheme="minorHAnsi" w:cstheme="minorHAnsi"/>
          <w:bCs/>
          <w:color w:val="FF0000"/>
          <w:szCs w:val="24"/>
        </w:rPr>
      </w:pPr>
    </w:p>
    <w:p w:rsidR="00156130" w:rsidRDefault="00156130" w:rsidP="00C4325D">
      <w:pPr>
        <w:tabs>
          <w:tab w:val="left" w:pos="0"/>
        </w:tabs>
        <w:suppressAutoHyphens/>
        <w:jc w:val="center"/>
        <w:rPr>
          <w:rFonts w:asciiTheme="minorHAnsi" w:hAnsiTheme="minorHAnsi" w:cstheme="minorHAnsi"/>
          <w:b/>
          <w:szCs w:val="24"/>
        </w:rPr>
      </w:pPr>
    </w:p>
    <w:p w:rsidR="006B5F71" w:rsidRPr="00073F7F" w:rsidRDefault="006B5F71" w:rsidP="00C4325D">
      <w:pPr>
        <w:tabs>
          <w:tab w:val="left" w:pos="0"/>
        </w:tabs>
        <w:suppressAutoHyphens/>
        <w:jc w:val="center"/>
        <w:rPr>
          <w:rFonts w:asciiTheme="minorHAnsi" w:hAnsiTheme="minorHAnsi" w:cstheme="minorHAnsi"/>
          <w:b/>
          <w:szCs w:val="24"/>
        </w:rPr>
      </w:pPr>
    </w:p>
    <w:p w:rsidR="00243E5F" w:rsidRPr="00073F7F" w:rsidRDefault="00A4407B" w:rsidP="00C4325D">
      <w:pPr>
        <w:tabs>
          <w:tab w:val="left" w:pos="0"/>
        </w:tabs>
        <w:suppressAutoHyphens/>
        <w:jc w:val="center"/>
        <w:rPr>
          <w:rFonts w:asciiTheme="minorHAnsi" w:hAnsiTheme="minorHAnsi" w:cstheme="minorHAnsi"/>
          <w:b/>
          <w:szCs w:val="24"/>
        </w:rPr>
      </w:pPr>
      <w:r w:rsidRPr="00073F7F">
        <w:rPr>
          <w:rFonts w:asciiTheme="minorHAnsi" w:hAnsiTheme="minorHAnsi" w:cstheme="minorHAnsi"/>
          <w:b/>
          <w:szCs w:val="24"/>
        </w:rPr>
        <w:t>Additional Course Policies</w:t>
      </w:r>
    </w:p>
    <w:p w:rsidR="00314BEA" w:rsidRPr="00073F7F" w:rsidRDefault="00314BEA" w:rsidP="00314BEA">
      <w:pPr>
        <w:tabs>
          <w:tab w:val="left" w:pos="0"/>
        </w:tabs>
        <w:suppressAutoHyphens/>
        <w:rPr>
          <w:rFonts w:asciiTheme="minorHAnsi" w:hAnsiTheme="minorHAnsi" w:cstheme="minorHAnsi"/>
          <w:szCs w:val="24"/>
          <w:u w:val="single"/>
        </w:rPr>
      </w:pPr>
    </w:p>
    <w:p w:rsidR="00314BEA" w:rsidRPr="00073F7F" w:rsidRDefault="00314BEA" w:rsidP="00314BEA">
      <w:pPr>
        <w:rPr>
          <w:rFonts w:asciiTheme="minorHAnsi" w:hAnsiTheme="minorHAnsi" w:cstheme="minorHAnsi"/>
          <w:szCs w:val="24"/>
        </w:rPr>
      </w:pPr>
      <w:r w:rsidRPr="00073F7F">
        <w:rPr>
          <w:rFonts w:asciiTheme="minorHAnsi" w:hAnsiTheme="minorHAnsi" w:cstheme="minorHAnsi"/>
          <w:szCs w:val="24"/>
          <w:u w:val="single"/>
        </w:rPr>
        <w:lastRenderedPageBreak/>
        <w:t>Missing Exams</w:t>
      </w:r>
    </w:p>
    <w:p w:rsidR="00EA3F96" w:rsidRDefault="00EA3F96" w:rsidP="00EA3F96">
      <w:pPr>
        <w:jc w:val="both"/>
      </w:pPr>
      <w:r>
        <w:t>There will be three exams: two midterms and one final. The final may not be comprehensive. However, your instructor reserves the right to administer a comprehensive final exam if he deems it appropriate. All three exams are mandatory. Students will be tested on materials from lectures, assigned readings from the text, and any hand-outs distributed in class or electronically. Make-up exams are not permitted and will only be offered at the discretion of the instructor if the student advised the instructor of the need to miss a scheduled exam far in advance and as soon as possible for the student. The offering of a make-up exam will only be considered where the exam was missed because of extreme and serious circumstances.</w:t>
      </w:r>
    </w:p>
    <w:p w:rsidR="00314BEA" w:rsidRPr="00073F7F" w:rsidRDefault="00314BEA" w:rsidP="00314BEA">
      <w:pPr>
        <w:rPr>
          <w:rFonts w:asciiTheme="minorHAnsi" w:hAnsiTheme="minorHAnsi" w:cstheme="minorHAnsi"/>
          <w:szCs w:val="24"/>
        </w:rPr>
      </w:pPr>
    </w:p>
    <w:p w:rsidR="00314BEA" w:rsidRPr="00073F7F" w:rsidRDefault="00314BEA" w:rsidP="00314BEA">
      <w:pPr>
        <w:rPr>
          <w:rFonts w:asciiTheme="minorHAnsi" w:hAnsiTheme="minorHAnsi" w:cstheme="minorHAnsi"/>
          <w:b/>
          <w:szCs w:val="24"/>
          <w:u w:val="single"/>
        </w:rPr>
      </w:pPr>
      <w:r w:rsidRPr="00073F7F">
        <w:rPr>
          <w:rFonts w:asciiTheme="minorHAnsi" w:hAnsiTheme="minorHAnsi" w:cstheme="minorHAnsi"/>
          <w:szCs w:val="24"/>
          <w:u w:val="single"/>
        </w:rPr>
        <w:t>Late Assignments</w:t>
      </w:r>
    </w:p>
    <w:p w:rsidR="00EA3F96" w:rsidRDefault="00EA3F96" w:rsidP="00EA3F96">
      <w:pPr>
        <w:pStyle w:val="NormalWeb"/>
        <w:spacing w:before="0" w:beforeAutospacing="0" w:after="0" w:afterAutospacing="0"/>
        <w:jc w:val="both"/>
      </w:pPr>
      <w:r>
        <w:t xml:space="preserve">You are required to submit two essays before each of the three exams. Late assignments are not accepted. </w:t>
      </w:r>
    </w:p>
    <w:p w:rsidR="00314BEA" w:rsidRPr="00073F7F" w:rsidRDefault="00314BEA" w:rsidP="00A4407B">
      <w:pPr>
        <w:rPr>
          <w:rFonts w:asciiTheme="minorHAnsi" w:hAnsiTheme="minorHAnsi" w:cstheme="minorHAnsi"/>
          <w:szCs w:val="24"/>
        </w:rPr>
      </w:pPr>
    </w:p>
    <w:p w:rsidR="00097658" w:rsidRPr="00073F7F" w:rsidRDefault="00097658" w:rsidP="00A4407B">
      <w:pPr>
        <w:rPr>
          <w:rFonts w:asciiTheme="minorHAnsi" w:hAnsiTheme="minorHAnsi" w:cstheme="minorHAnsi"/>
          <w:szCs w:val="24"/>
          <w:u w:val="single"/>
        </w:rPr>
      </w:pPr>
      <w:r w:rsidRPr="00073F7F">
        <w:rPr>
          <w:rFonts w:asciiTheme="minorHAnsi" w:hAnsiTheme="minorHAnsi" w:cstheme="minorHAnsi"/>
          <w:szCs w:val="24"/>
          <w:u w:val="single"/>
        </w:rPr>
        <w:t>Attendance Policy</w:t>
      </w:r>
    </w:p>
    <w:p w:rsidR="00EA3F96" w:rsidRDefault="00EA3F96" w:rsidP="00EA3F96">
      <w:pPr>
        <w:jc w:val="both"/>
      </w:pPr>
      <w:r>
        <w:t>Attendance is required. Students are expected to attend class regularly. Failure to do so will affect your course grade. Each student is permitted two absences for any reason. Students missing two classes or less will get 3 points. Any absences above the permitted two will result in a 1-point deduction for each such absence. Students shall keep track of their own number of absences.</w:t>
      </w:r>
    </w:p>
    <w:p w:rsidR="00097658" w:rsidRPr="00073F7F" w:rsidRDefault="00097658" w:rsidP="00A4407B">
      <w:pPr>
        <w:rPr>
          <w:rFonts w:asciiTheme="minorHAnsi" w:hAnsiTheme="minorHAnsi" w:cstheme="minorHAnsi"/>
          <w:color w:val="1F497D" w:themeColor="text2"/>
          <w:szCs w:val="24"/>
        </w:rPr>
      </w:pPr>
    </w:p>
    <w:p w:rsidR="00097658" w:rsidRPr="00073F7F" w:rsidRDefault="00097658" w:rsidP="00097658">
      <w:pPr>
        <w:rPr>
          <w:rFonts w:asciiTheme="minorHAnsi" w:hAnsiTheme="minorHAnsi" w:cstheme="minorHAnsi"/>
          <w:szCs w:val="24"/>
          <w:u w:val="single"/>
        </w:rPr>
      </w:pPr>
      <w:r w:rsidRPr="00073F7F">
        <w:rPr>
          <w:rFonts w:asciiTheme="minorHAnsi" w:hAnsiTheme="minorHAnsi" w:cstheme="minorHAnsi"/>
          <w:szCs w:val="24"/>
          <w:u w:val="single"/>
        </w:rPr>
        <w:t>Course Outline</w:t>
      </w:r>
    </w:p>
    <w:p w:rsidR="00EA3F96" w:rsidRPr="00A41093" w:rsidRDefault="00EA3F96" w:rsidP="00EA3F96">
      <w:pPr>
        <w:jc w:val="center"/>
        <w:rPr>
          <w:b/>
          <w:u w:val="single"/>
        </w:rPr>
      </w:pPr>
      <w:r w:rsidRPr="00A41093">
        <w:rPr>
          <w:b/>
          <w:u w:val="single"/>
        </w:rPr>
        <w:t>Course Outline</w:t>
      </w:r>
    </w:p>
    <w:p w:rsidR="00EA3F96" w:rsidRPr="00A41093" w:rsidRDefault="00EA3F96" w:rsidP="00EA3F96">
      <w:pPr>
        <w:jc w:val="center"/>
        <w:rPr>
          <w:b/>
        </w:rPr>
      </w:pPr>
    </w:p>
    <w:p w:rsidR="00EA3F96" w:rsidRDefault="00EA3F96" w:rsidP="00EA3F96">
      <w:pPr>
        <w:jc w:val="center"/>
      </w:pPr>
      <w:r w:rsidRPr="00A41093">
        <w:t>(Tentative, Subject to Change)</w:t>
      </w:r>
    </w:p>
    <w:p w:rsidR="00EA3F96" w:rsidRPr="00A41093" w:rsidRDefault="00EA3F96" w:rsidP="00EA3F9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5"/>
      </w:tblGrid>
      <w:tr w:rsidR="00E73483" w:rsidRPr="00395815" w:rsidTr="00C56E88">
        <w:trPr>
          <w:jc w:val="center"/>
        </w:trPr>
        <w:tc>
          <w:tcPr>
            <w:tcW w:w="0" w:type="auto"/>
            <w:vAlign w:val="center"/>
          </w:tcPr>
          <w:p w:rsidR="00E73483" w:rsidRPr="00395815" w:rsidRDefault="00E73483" w:rsidP="00C56E88">
            <w:pPr>
              <w:jc w:val="center"/>
              <w:rPr>
                <w:b/>
              </w:rPr>
            </w:pPr>
            <w:r w:rsidRPr="00395815">
              <w:rPr>
                <w:b/>
              </w:rPr>
              <w:t>Topic</w:t>
            </w:r>
          </w:p>
        </w:tc>
      </w:tr>
      <w:tr w:rsidR="00E73483" w:rsidTr="00C56E88">
        <w:trPr>
          <w:jc w:val="center"/>
        </w:trPr>
        <w:tc>
          <w:tcPr>
            <w:tcW w:w="0" w:type="auto"/>
          </w:tcPr>
          <w:p w:rsidR="00E73483" w:rsidRDefault="00E73483" w:rsidP="00C56E88">
            <w:r>
              <w:t>Syllabus</w:t>
            </w:r>
          </w:p>
        </w:tc>
      </w:tr>
      <w:tr w:rsidR="00E73483" w:rsidTr="00C56E88">
        <w:trPr>
          <w:jc w:val="center"/>
        </w:trPr>
        <w:tc>
          <w:tcPr>
            <w:tcW w:w="0" w:type="auto"/>
          </w:tcPr>
          <w:p w:rsidR="00E73483" w:rsidRPr="00032064" w:rsidRDefault="00E73483" w:rsidP="00C56E88">
            <w:r>
              <w:t>-Introduction to risks</w:t>
            </w:r>
          </w:p>
        </w:tc>
      </w:tr>
      <w:tr w:rsidR="00E73483" w:rsidTr="00C56E88">
        <w:trPr>
          <w:jc w:val="center"/>
        </w:trPr>
        <w:tc>
          <w:tcPr>
            <w:tcW w:w="0" w:type="auto"/>
          </w:tcPr>
          <w:p w:rsidR="00E73483" w:rsidRDefault="00E73483" w:rsidP="00C56E88">
            <w:r>
              <w:t>-Liability risks</w:t>
            </w:r>
          </w:p>
          <w:p w:rsidR="00E73483" w:rsidRDefault="00E73483" w:rsidP="00C56E88">
            <w:pPr>
              <w:rPr>
                <w:b/>
                <w:i/>
              </w:rPr>
            </w:pPr>
            <w:r>
              <w:t>-Risk management techniques</w:t>
            </w:r>
            <w:r w:rsidRPr="00560317">
              <w:rPr>
                <w:b/>
                <w:i/>
              </w:rPr>
              <w:t xml:space="preserve"> </w:t>
            </w:r>
          </w:p>
          <w:p w:rsidR="00E73483" w:rsidRPr="00560317" w:rsidRDefault="00E73483" w:rsidP="00C56E88">
            <w:pPr>
              <w:rPr>
                <w:b/>
                <w:i/>
              </w:rPr>
            </w:pPr>
            <w:r w:rsidRPr="00560317">
              <w:rPr>
                <w:b/>
                <w:i/>
              </w:rPr>
              <w:t>Essay 1</w:t>
            </w:r>
          </w:p>
        </w:tc>
      </w:tr>
      <w:tr w:rsidR="00E73483" w:rsidRPr="00AF6332" w:rsidTr="00C56E88">
        <w:trPr>
          <w:jc w:val="center"/>
        </w:trPr>
        <w:tc>
          <w:tcPr>
            <w:tcW w:w="0" w:type="auto"/>
          </w:tcPr>
          <w:p w:rsidR="00E73483" w:rsidRDefault="00E73483" w:rsidP="00C56E88">
            <w:r>
              <w:t>-Risk forecasting and assessment</w:t>
            </w:r>
          </w:p>
          <w:p w:rsidR="00E73483" w:rsidRDefault="00E73483" w:rsidP="00C56E88">
            <w:r>
              <w:t>-Social Security and social insurance</w:t>
            </w:r>
          </w:p>
          <w:p w:rsidR="00E73483" w:rsidRPr="00560317" w:rsidRDefault="00E73483" w:rsidP="00C56E88">
            <w:pPr>
              <w:rPr>
                <w:b/>
                <w:i/>
              </w:rPr>
            </w:pPr>
            <w:r w:rsidRPr="00560317">
              <w:rPr>
                <w:b/>
                <w:i/>
              </w:rPr>
              <w:t>Essay 2</w:t>
            </w:r>
          </w:p>
        </w:tc>
      </w:tr>
      <w:tr w:rsidR="00E73483" w:rsidRPr="007C297A" w:rsidTr="00C56E88">
        <w:trPr>
          <w:jc w:val="center"/>
        </w:trPr>
        <w:tc>
          <w:tcPr>
            <w:tcW w:w="0" w:type="auto"/>
          </w:tcPr>
          <w:p w:rsidR="00E73483" w:rsidRPr="00625D58" w:rsidRDefault="00E73483" w:rsidP="00C56E88">
            <w:pPr>
              <w:rPr>
                <w:b/>
              </w:rPr>
            </w:pPr>
            <w:r w:rsidRPr="00625D58">
              <w:rPr>
                <w:b/>
              </w:rPr>
              <w:t>Exam I</w:t>
            </w:r>
          </w:p>
        </w:tc>
      </w:tr>
      <w:tr w:rsidR="00E73483" w:rsidTr="00C56E88">
        <w:trPr>
          <w:jc w:val="center"/>
        </w:trPr>
        <w:tc>
          <w:tcPr>
            <w:tcW w:w="0" w:type="auto"/>
          </w:tcPr>
          <w:p w:rsidR="00E73483" w:rsidRPr="00FF7347" w:rsidRDefault="00E73483" w:rsidP="00C56E88">
            <w:r>
              <w:t>-Personal financial planning</w:t>
            </w:r>
          </w:p>
        </w:tc>
      </w:tr>
      <w:tr w:rsidR="00E73483" w:rsidTr="00C56E88">
        <w:trPr>
          <w:jc w:val="center"/>
        </w:trPr>
        <w:tc>
          <w:tcPr>
            <w:tcW w:w="0" w:type="auto"/>
          </w:tcPr>
          <w:p w:rsidR="00E73483" w:rsidRDefault="00E73483" w:rsidP="00C56E88">
            <w:r>
              <w:t>-Insurance organizations, operations, and regulations</w:t>
            </w:r>
          </w:p>
          <w:p w:rsidR="00E73483" w:rsidRPr="00B34DF7" w:rsidRDefault="00E73483" w:rsidP="00C56E88">
            <w:r>
              <w:t>-Insurance principles and contracts</w:t>
            </w:r>
          </w:p>
        </w:tc>
      </w:tr>
      <w:tr w:rsidR="00E73483" w:rsidRPr="007C297A" w:rsidTr="00C56E88">
        <w:trPr>
          <w:jc w:val="center"/>
        </w:trPr>
        <w:tc>
          <w:tcPr>
            <w:tcW w:w="0" w:type="auto"/>
          </w:tcPr>
          <w:p w:rsidR="00E73483" w:rsidRDefault="00E73483" w:rsidP="00C56E88">
            <w:r>
              <w:t>-Auto Insurance</w:t>
            </w:r>
            <w:r w:rsidRPr="00AB5528">
              <w:t xml:space="preserve"> </w:t>
            </w:r>
          </w:p>
          <w:p w:rsidR="00E73483" w:rsidRPr="00560317" w:rsidRDefault="00E73483" w:rsidP="00C56E88">
            <w:pPr>
              <w:rPr>
                <w:b/>
                <w:i/>
              </w:rPr>
            </w:pPr>
            <w:r w:rsidRPr="00560317">
              <w:rPr>
                <w:b/>
                <w:i/>
              </w:rPr>
              <w:t>Essay 3</w:t>
            </w:r>
          </w:p>
        </w:tc>
      </w:tr>
      <w:tr w:rsidR="00E73483" w:rsidTr="00C56E88">
        <w:trPr>
          <w:jc w:val="center"/>
        </w:trPr>
        <w:tc>
          <w:tcPr>
            <w:tcW w:w="0" w:type="auto"/>
          </w:tcPr>
          <w:p w:rsidR="00E73483" w:rsidRDefault="00E73483" w:rsidP="00C56E88">
            <w:r>
              <w:lastRenderedPageBreak/>
              <w:t>-Life insurance</w:t>
            </w:r>
          </w:p>
          <w:p w:rsidR="00E73483" w:rsidRPr="00625D58" w:rsidRDefault="00E73483" w:rsidP="00C56E88">
            <w:pPr>
              <w:rPr>
                <w:b/>
              </w:rPr>
            </w:pPr>
            <w:r w:rsidRPr="00560317">
              <w:rPr>
                <w:b/>
                <w:i/>
              </w:rPr>
              <w:t>Essay 4</w:t>
            </w:r>
          </w:p>
        </w:tc>
      </w:tr>
      <w:tr w:rsidR="00E73483" w:rsidTr="00C56E88">
        <w:trPr>
          <w:jc w:val="center"/>
        </w:trPr>
        <w:tc>
          <w:tcPr>
            <w:tcW w:w="0" w:type="auto"/>
          </w:tcPr>
          <w:p w:rsidR="00E73483" w:rsidRPr="00560317" w:rsidRDefault="00E73483" w:rsidP="00C56E88">
            <w:pPr>
              <w:rPr>
                <w:b/>
                <w:i/>
              </w:rPr>
            </w:pPr>
            <w:r w:rsidRPr="00625D58">
              <w:rPr>
                <w:b/>
              </w:rPr>
              <w:t>Exam II</w:t>
            </w:r>
            <w:r w:rsidRPr="00560317">
              <w:rPr>
                <w:b/>
                <w:i/>
              </w:rPr>
              <w:t xml:space="preserve"> </w:t>
            </w:r>
          </w:p>
        </w:tc>
      </w:tr>
      <w:tr w:rsidR="00E73483" w:rsidTr="00C56E88">
        <w:trPr>
          <w:jc w:val="center"/>
        </w:trPr>
        <w:tc>
          <w:tcPr>
            <w:tcW w:w="0" w:type="auto"/>
          </w:tcPr>
          <w:p w:rsidR="00E73483" w:rsidRPr="0016323E" w:rsidRDefault="00E73483" w:rsidP="00C56E88">
            <w:r>
              <w:t>-Homeowners i</w:t>
            </w:r>
            <w:r w:rsidRPr="00B34DF7">
              <w:t>nsurance</w:t>
            </w:r>
          </w:p>
        </w:tc>
      </w:tr>
      <w:tr w:rsidR="00E73483" w:rsidTr="00C56E88">
        <w:trPr>
          <w:jc w:val="center"/>
        </w:trPr>
        <w:tc>
          <w:tcPr>
            <w:tcW w:w="0" w:type="auto"/>
          </w:tcPr>
          <w:p w:rsidR="00E73483" w:rsidRDefault="00E73483" w:rsidP="00C56E88">
            <w:r>
              <w:t xml:space="preserve">-Health insurance </w:t>
            </w:r>
          </w:p>
          <w:p w:rsidR="00E73483" w:rsidRPr="00560317" w:rsidRDefault="00E73483" w:rsidP="00C56E88">
            <w:pPr>
              <w:rPr>
                <w:i/>
              </w:rPr>
            </w:pPr>
            <w:r w:rsidRPr="00560317">
              <w:rPr>
                <w:b/>
                <w:i/>
              </w:rPr>
              <w:t>Essay 5</w:t>
            </w:r>
          </w:p>
        </w:tc>
      </w:tr>
      <w:tr w:rsidR="00E73483" w:rsidTr="00C56E88">
        <w:trPr>
          <w:jc w:val="center"/>
        </w:trPr>
        <w:tc>
          <w:tcPr>
            <w:tcW w:w="0" w:type="auto"/>
          </w:tcPr>
          <w:p w:rsidR="00E73483" w:rsidRDefault="00E73483" w:rsidP="00C56E88">
            <w:r>
              <w:t>-Commercial property and liability insurance</w:t>
            </w:r>
          </w:p>
          <w:p w:rsidR="00E73483" w:rsidRPr="008B1A17" w:rsidRDefault="00E73483" w:rsidP="00C56E88">
            <w:r>
              <w:t>-Reinsurance</w:t>
            </w:r>
          </w:p>
          <w:p w:rsidR="00E73483" w:rsidRPr="00560317" w:rsidRDefault="00E73483" w:rsidP="00C56E88">
            <w:pPr>
              <w:rPr>
                <w:b/>
                <w:i/>
              </w:rPr>
            </w:pPr>
            <w:r w:rsidRPr="00560317">
              <w:rPr>
                <w:b/>
                <w:i/>
              </w:rPr>
              <w:t>Essay 6</w:t>
            </w:r>
          </w:p>
        </w:tc>
      </w:tr>
      <w:tr w:rsidR="00E73483" w:rsidTr="00C56E88">
        <w:trPr>
          <w:jc w:val="center"/>
        </w:trPr>
        <w:tc>
          <w:tcPr>
            <w:tcW w:w="0" w:type="auto"/>
          </w:tcPr>
          <w:p w:rsidR="00E73483" w:rsidRPr="00560317" w:rsidRDefault="00E73483" w:rsidP="00C56E88">
            <w:pPr>
              <w:rPr>
                <w:b/>
                <w:i/>
              </w:rPr>
            </w:pPr>
            <w:r>
              <w:t>-Capital market risk financing plans</w:t>
            </w:r>
            <w:r w:rsidRPr="00560317">
              <w:rPr>
                <w:b/>
                <w:i/>
              </w:rPr>
              <w:t xml:space="preserve"> </w:t>
            </w:r>
          </w:p>
        </w:tc>
      </w:tr>
      <w:tr w:rsidR="00E73483" w:rsidTr="00C56E88">
        <w:trPr>
          <w:jc w:val="center"/>
        </w:trPr>
        <w:tc>
          <w:tcPr>
            <w:tcW w:w="0" w:type="auto"/>
          </w:tcPr>
          <w:p w:rsidR="00E73483" w:rsidRPr="00560317" w:rsidRDefault="00E73483" w:rsidP="00C56E88">
            <w:pPr>
              <w:rPr>
                <w:i/>
              </w:rPr>
            </w:pPr>
            <w:r>
              <w:rPr>
                <w:i/>
              </w:rPr>
              <w:t>Review</w:t>
            </w:r>
          </w:p>
        </w:tc>
      </w:tr>
      <w:tr w:rsidR="00E73483" w:rsidRPr="00346F17" w:rsidTr="00C56E88">
        <w:trPr>
          <w:jc w:val="center"/>
        </w:trPr>
        <w:tc>
          <w:tcPr>
            <w:tcW w:w="0" w:type="auto"/>
          </w:tcPr>
          <w:p w:rsidR="00E73483" w:rsidRPr="00625D58" w:rsidRDefault="00E73483" w:rsidP="00E73483">
            <w:pPr>
              <w:rPr>
                <w:b/>
              </w:rPr>
            </w:pPr>
            <w:r w:rsidRPr="00625D58">
              <w:rPr>
                <w:b/>
              </w:rPr>
              <w:t xml:space="preserve">Final </w:t>
            </w:r>
          </w:p>
        </w:tc>
      </w:tr>
    </w:tbl>
    <w:p w:rsidR="00EA3F96" w:rsidRDefault="00EA3F96" w:rsidP="00EA3F96"/>
    <w:p w:rsidR="006B5F71" w:rsidRDefault="006B5F71" w:rsidP="00156130">
      <w:pPr>
        <w:spacing w:after="200" w:line="276" w:lineRule="auto"/>
        <w:jc w:val="center"/>
        <w:rPr>
          <w:rFonts w:asciiTheme="minorHAnsi" w:hAnsiTheme="minorHAnsi" w:cstheme="minorHAnsi"/>
          <w:b/>
          <w:szCs w:val="24"/>
        </w:rPr>
      </w:pPr>
    </w:p>
    <w:p w:rsidR="00156130" w:rsidRPr="00073F7F" w:rsidRDefault="00156130" w:rsidP="00156130">
      <w:pPr>
        <w:spacing w:after="200" w:line="276" w:lineRule="auto"/>
        <w:jc w:val="center"/>
        <w:rPr>
          <w:rFonts w:asciiTheme="minorHAnsi" w:hAnsiTheme="minorHAnsi" w:cstheme="minorHAnsi"/>
          <w:b/>
          <w:szCs w:val="24"/>
        </w:rPr>
      </w:pPr>
      <w:r w:rsidRPr="00073F7F">
        <w:rPr>
          <w:rFonts w:asciiTheme="minorHAnsi" w:hAnsiTheme="minorHAnsi" w:cstheme="minorHAnsi"/>
          <w:b/>
          <w:szCs w:val="24"/>
        </w:rPr>
        <w:t>Selected University and College Policies</w:t>
      </w:r>
    </w:p>
    <w:p w:rsidR="00156130" w:rsidRPr="00073F7F" w:rsidRDefault="00156130" w:rsidP="00156130">
      <w:pPr>
        <w:autoSpaceDE w:val="0"/>
        <w:autoSpaceDN w:val="0"/>
        <w:adjustRightInd w:val="0"/>
        <w:rPr>
          <w:rFonts w:asciiTheme="minorHAnsi" w:eastAsiaTheme="minorHAnsi" w:hAnsiTheme="minorHAnsi" w:cstheme="minorHAnsi"/>
          <w:color w:val="000000"/>
          <w:szCs w:val="24"/>
          <w:u w:val="single"/>
        </w:rPr>
      </w:pPr>
      <w:r w:rsidRPr="00073F7F">
        <w:rPr>
          <w:rFonts w:asciiTheme="minorHAnsi" w:eastAsiaTheme="minorHAnsi" w:hAnsiTheme="minorHAnsi" w:cstheme="minorHAnsi"/>
          <w:color w:val="000000"/>
          <w:szCs w:val="24"/>
          <w:u w:val="single"/>
        </w:rPr>
        <w:t>Code of Academic Integrity Policy Statement</w:t>
      </w:r>
    </w:p>
    <w:p w:rsidR="00156130" w:rsidRPr="00073F7F" w:rsidRDefault="00156130" w:rsidP="00156130">
      <w:pPr>
        <w:autoSpaceDE w:val="0"/>
        <w:autoSpaceDN w:val="0"/>
        <w:adjustRightInd w:val="0"/>
        <w:rPr>
          <w:rFonts w:asciiTheme="minorHAnsi" w:eastAsiaTheme="minorHAnsi" w:hAnsiTheme="minorHAnsi" w:cstheme="minorHAnsi"/>
          <w:iCs/>
          <w:color w:val="000000"/>
          <w:szCs w:val="24"/>
        </w:rPr>
      </w:pPr>
      <w:r w:rsidRPr="00073F7F">
        <w:rPr>
          <w:rFonts w:asciiTheme="minorHAnsi" w:eastAsiaTheme="minorHAnsi" w:hAnsiTheme="minorHAnsi" w:cstheme="minorHAnsi"/>
          <w:iCs/>
          <w:color w:val="000000"/>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156130" w:rsidRPr="00073F7F" w:rsidRDefault="00156130" w:rsidP="00156130">
      <w:pPr>
        <w:autoSpaceDE w:val="0"/>
        <w:autoSpaceDN w:val="0"/>
        <w:adjustRightInd w:val="0"/>
        <w:rPr>
          <w:rFonts w:asciiTheme="minorHAnsi" w:eastAsiaTheme="minorHAnsi" w:hAnsiTheme="minorHAnsi" w:cstheme="minorHAnsi"/>
          <w:color w:val="000000"/>
          <w:szCs w:val="24"/>
        </w:rPr>
      </w:pPr>
      <w:r w:rsidRPr="00073F7F">
        <w:rPr>
          <w:rFonts w:asciiTheme="minorHAnsi" w:eastAsiaTheme="minorHAnsi" w:hAnsiTheme="minorHAnsi" w:cstheme="minorHAnsi"/>
          <w:iCs/>
          <w:color w:val="000000"/>
          <w:szCs w:val="24"/>
        </w:rPr>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8" w:tgtFrame="_blank" w:history="1">
        <w:r w:rsidR="00013926">
          <w:rPr>
            <w:rStyle w:val="Hyperlink"/>
          </w:rPr>
          <w:t>http://www.fau.edu/regulations/chapter4/4.001_Code_of_Academic_Integrity.pdf</w:t>
        </w:r>
      </w:hyperlink>
      <w:r w:rsidRPr="00073F7F">
        <w:rPr>
          <w:rFonts w:asciiTheme="minorHAnsi" w:eastAsiaTheme="minorHAnsi" w:hAnsiTheme="minorHAnsi" w:cstheme="minorHAnsi"/>
          <w:iCs/>
          <w:color w:val="000000"/>
          <w:szCs w:val="24"/>
        </w:rPr>
        <w:t xml:space="preserve">. </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u w:val="single"/>
        </w:rPr>
        <w:t>Disability Policy Statement</w:t>
      </w:r>
      <w:r w:rsidRPr="00073F7F">
        <w:rPr>
          <w:rFonts w:asciiTheme="minorHAnsi" w:hAnsiTheme="minorHAnsi" w:cstheme="minorHAnsi"/>
          <w:szCs w:val="24"/>
        </w:rPr>
        <w:t xml:space="preserve">  </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In compliance with the Americans with Disabilities Act (ADA), students who require special accommodation due to a disability to properly execute coursework must register with the Office for Students with Disabilities (</w:t>
      </w:r>
      <w:hyperlink r:id="rId9" w:history="1">
        <w:r w:rsidRPr="00073F7F">
          <w:rPr>
            <w:rStyle w:val="Hyperlink"/>
            <w:rFonts w:asciiTheme="minorHAnsi" w:hAnsiTheme="minorHAnsi" w:cstheme="minorHAnsi"/>
            <w:szCs w:val="24"/>
          </w:rPr>
          <w:t>OSD</w:t>
        </w:r>
      </w:hyperlink>
      <w:r w:rsidRPr="00073F7F">
        <w:rPr>
          <w:rFonts w:asciiTheme="minorHAnsi" w:hAnsiTheme="minorHAnsi" w:cstheme="minorHAnsi"/>
          <w:szCs w:val="24"/>
        </w:rPr>
        <w:t>)  – in Boca Raton, SU 133, (561) 297-3880; in Davie, MOD 1, (954) 236-1222; in Jupiter, SR 117, (561) 799-8585; or, at the Treasure Coast, CO 128, (772) 873-3305 – and follow all OSD procedures.</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Religious Accommodation Policy Statement  </w:t>
      </w:r>
    </w:p>
    <w:p w:rsidR="00156130" w:rsidRPr="00073F7F" w:rsidRDefault="00156130" w:rsidP="00156130">
      <w:pPr>
        <w:rPr>
          <w:rFonts w:asciiTheme="minorHAnsi" w:hAnsiTheme="minorHAnsi" w:cstheme="minorHAnsi"/>
        </w:rPr>
      </w:pPr>
      <w:r w:rsidRPr="00073F7F">
        <w:rPr>
          <w:rFonts w:asciiTheme="minorHAnsi" w:hAnsiTheme="minorHAnsi" w:cstheme="minorHAnsi"/>
          <w:szCs w:val="24"/>
        </w:rPr>
        <w:t xml:space="preserve">In accordance with rules of the Florida Board of Education and Florida law, students have the right to reasonable accommodations from the University in order to observe religious practices </w:t>
      </w:r>
      <w:r w:rsidRPr="00073F7F">
        <w:rPr>
          <w:rFonts w:asciiTheme="minorHAnsi" w:hAnsiTheme="minorHAnsi" w:cstheme="minorHAnsi"/>
          <w:b/>
          <w:szCs w:val="24"/>
        </w:rPr>
        <w:t>and beliefs with regard to admissions, registration, class attendance and the scheduling of</w:t>
      </w:r>
      <w:r w:rsidRPr="00073F7F">
        <w:rPr>
          <w:rFonts w:asciiTheme="minorHAnsi" w:hAnsiTheme="minorHAnsi" w:cstheme="minorHAnsi"/>
          <w:szCs w:val="24"/>
        </w:rPr>
        <w:t xml:space="preserve"> examinations and work assignments.  For further information, please see</w:t>
      </w:r>
      <w:r w:rsidRPr="00073F7F">
        <w:rPr>
          <w:rFonts w:asciiTheme="minorHAnsi" w:hAnsiTheme="minorHAnsi" w:cstheme="minorHAnsi"/>
        </w:rPr>
        <w:t xml:space="preserve"> </w:t>
      </w:r>
      <w:hyperlink r:id="rId10" w:history="1">
        <w:r w:rsidRPr="00073F7F">
          <w:rPr>
            <w:rStyle w:val="Hyperlink"/>
            <w:rFonts w:asciiTheme="minorHAnsi" w:hAnsiTheme="minorHAnsi" w:cstheme="minorHAnsi"/>
          </w:rPr>
          <w:t>Academic Policies and Regulations</w:t>
        </w:r>
      </w:hyperlink>
      <w:r w:rsidRPr="00073F7F">
        <w:rPr>
          <w:rFonts w:asciiTheme="minorHAnsi" w:hAnsiTheme="minorHAnsi" w:cstheme="minorHAnsi"/>
        </w:rPr>
        <w:t xml:space="preserve">.  </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 xml:space="preserve">University Approved Absence Policy Statement  </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College of Business Minimum Grade Policy Statement</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Incomplete Grade Policy Statement</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156130" w:rsidRPr="00073F7F" w:rsidRDefault="00156130" w:rsidP="00156130">
      <w:pPr>
        <w:rPr>
          <w:rFonts w:asciiTheme="minorHAnsi" w:hAnsiTheme="minorHAnsi" w:cstheme="minorHAnsi"/>
          <w:szCs w:val="24"/>
        </w:rPr>
      </w:pP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pStyle w:val="Default"/>
        <w:rPr>
          <w:rFonts w:asciiTheme="minorHAnsi" w:hAnsiTheme="minorHAnsi" w:cstheme="minorHAnsi"/>
          <w:u w:val="single"/>
        </w:rPr>
      </w:pPr>
      <w:r w:rsidRPr="00073F7F">
        <w:rPr>
          <w:rFonts w:asciiTheme="minorHAnsi" w:hAnsiTheme="minorHAnsi" w:cstheme="minorHAnsi"/>
          <w:u w:val="single"/>
        </w:rPr>
        <w:t>Withdrawals</w:t>
      </w:r>
    </w:p>
    <w:p w:rsidR="00156130" w:rsidRPr="00073F7F" w:rsidRDefault="00156130" w:rsidP="00156130">
      <w:pPr>
        <w:pStyle w:val="Default"/>
        <w:rPr>
          <w:rFonts w:asciiTheme="minorHAnsi" w:hAnsiTheme="minorHAnsi" w:cstheme="minorHAnsi"/>
        </w:rPr>
      </w:pPr>
      <w:r w:rsidRPr="00073F7F">
        <w:rPr>
          <w:rFonts w:asciiTheme="minorHAnsi" w:hAnsiTheme="minorHAnsi" w:cstheme="minorHAnsi"/>
        </w:rPr>
        <w:t xml:space="preserve">Any student who decides to drop is responsible for completing the proper paper work required to withdraw from the course. </w:t>
      </w:r>
    </w:p>
    <w:p w:rsidR="00156130" w:rsidRPr="00073F7F" w:rsidRDefault="00156130" w:rsidP="00156130">
      <w:pPr>
        <w:rPr>
          <w:rFonts w:asciiTheme="minorHAnsi" w:hAnsiTheme="minorHAnsi" w:cstheme="minorHAnsi"/>
          <w:szCs w:val="24"/>
          <w:u w:val="single"/>
        </w:rPr>
      </w:pPr>
    </w:p>
    <w:p w:rsidR="00156130" w:rsidRPr="00073F7F" w:rsidRDefault="00156130" w:rsidP="00156130">
      <w:pPr>
        <w:rPr>
          <w:rFonts w:asciiTheme="minorHAnsi" w:hAnsiTheme="minorHAnsi" w:cstheme="minorHAnsi"/>
          <w:szCs w:val="24"/>
          <w:u w:val="single"/>
        </w:rPr>
      </w:pPr>
      <w:r w:rsidRPr="00073F7F">
        <w:rPr>
          <w:rFonts w:asciiTheme="minorHAnsi" w:hAnsiTheme="minorHAnsi" w:cstheme="minorHAnsi"/>
          <w:szCs w:val="24"/>
          <w:u w:val="single"/>
        </w:rPr>
        <w:t>Grade Appeal Process</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A student may request a review of the final course grade when s/he believes that one of the following conditions apply:</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computational or recording error in the grading.</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Non-academic criteria were applied in the grading process.</w:t>
      </w:r>
    </w:p>
    <w:p w:rsidR="00156130" w:rsidRPr="00073F7F" w:rsidRDefault="00156130" w:rsidP="00156130">
      <w:pPr>
        <w:numPr>
          <w:ilvl w:val="0"/>
          <w:numId w:val="9"/>
        </w:numPr>
        <w:rPr>
          <w:rFonts w:asciiTheme="minorHAnsi" w:hAnsiTheme="minorHAnsi" w:cstheme="minorHAnsi"/>
          <w:szCs w:val="24"/>
        </w:rPr>
      </w:pPr>
      <w:r w:rsidRPr="00073F7F">
        <w:rPr>
          <w:rFonts w:asciiTheme="minorHAnsi" w:hAnsiTheme="minorHAnsi" w:cstheme="minorHAnsi"/>
          <w:szCs w:val="24"/>
        </w:rPr>
        <w:t>There was a gross violation of the instructor’s own grading system.</w:t>
      </w:r>
    </w:p>
    <w:p w:rsidR="00156130" w:rsidRPr="00073F7F" w:rsidRDefault="00156130" w:rsidP="00156130">
      <w:pPr>
        <w:rPr>
          <w:rFonts w:asciiTheme="minorHAnsi" w:hAnsiTheme="minorHAnsi" w:cstheme="minorHAnsi"/>
          <w:szCs w:val="24"/>
        </w:rPr>
      </w:pPr>
      <w:r w:rsidRPr="00073F7F">
        <w:rPr>
          <w:rFonts w:asciiTheme="minorHAnsi" w:hAnsiTheme="minorHAnsi" w:cstheme="minorHAnsi"/>
          <w:szCs w:val="24"/>
        </w:rPr>
        <w:t xml:space="preserve">The procedures for a grade appeal may be found in </w:t>
      </w:r>
      <w:hyperlink r:id="rId11" w:tooltip="4.002_Student_Academic_Grievance_Procedures_for_Grade_Reviews.pdf" w:history="1">
        <w:r w:rsidRPr="00073F7F">
          <w:rPr>
            <w:rFonts w:asciiTheme="minorHAnsi" w:hAnsiTheme="minorHAnsi" w:cstheme="minorHAnsi"/>
            <w:color w:val="0000FF"/>
            <w:szCs w:val="24"/>
            <w:u w:val="single"/>
          </w:rPr>
          <w:t>Chapter 4 of the University Regulations</w:t>
        </w:r>
      </w:hyperlink>
      <w:r w:rsidRPr="00073F7F">
        <w:rPr>
          <w:rFonts w:asciiTheme="minorHAnsi" w:hAnsiTheme="minorHAnsi" w:cstheme="minorHAnsi"/>
          <w:szCs w:val="24"/>
        </w:rPr>
        <w:t>.</w:t>
      </w:r>
    </w:p>
    <w:p w:rsidR="00156130" w:rsidRPr="00073F7F" w:rsidRDefault="00156130" w:rsidP="00156130">
      <w:pPr>
        <w:spacing w:after="200" w:line="276" w:lineRule="auto"/>
        <w:rPr>
          <w:rFonts w:asciiTheme="minorHAnsi" w:hAnsiTheme="minorHAnsi" w:cstheme="minorHAnsi"/>
          <w:szCs w:val="24"/>
          <w:u w:val="single"/>
        </w:rPr>
      </w:pPr>
    </w:p>
    <w:p w:rsidR="00156130" w:rsidRPr="00073F7F" w:rsidRDefault="00156130" w:rsidP="00156130">
      <w:pPr>
        <w:spacing w:after="200" w:line="276" w:lineRule="auto"/>
        <w:rPr>
          <w:rFonts w:asciiTheme="minorHAnsi" w:hAnsiTheme="minorHAnsi" w:cstheme="minorHAnsi"/>
          <w:szCs w:val="24"/>
          <w:u w:val="single"/>
        </w:rPr>
      </w:pPr>
      <w:r w:rsidRPr="00073F7F">
        <w:rPr>
          <w:rFonts w:asciiTheme="minorHAnsi" w:hAnsiTheme="minorHAnsi" w:cstheme="minorHAnsi"/>
          <w:szCs w:val="24"/>
          <w:u w:val="single"/>
        </w:rPr>
        <w:lastRenderedPageBreak/>
        <w:t>Disruptive Behavior Policy Statement</w:t>
      </w:r>
    </w:p>
    <w:p w:rsidR="00073F7F" w:rsidRPr="00073F7F" w:rsidRDefault="00073F7F" w:rsidP="00073F7F">
      <w:p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 xml:space="preserve">Disruptive behavior is defined in the FAU Student Code of Conduct as </w:t>
      </w:r>
      <w:r w:rsidRPr="00073F7F">
        <w:rPr>
          <w:rFonts w:asciiTheme="minorHAnsi" w:hAnsiTheme="minorHAnsi" w:cstheme="minorHAnsi"/>
          <w:i/>
          <w:iCs/>
          <w:szCs w:val="24"/>
        </w:rPr>
        <w:t>“... activities which interfere with the educational mission within classroom.”</w:t>
      </w:r>
      <w:r w:rsidRPr="00073F7F">
        <w:rPr>
          <w:rFonts w:asciiTheme="minorHAnsi" w:hAnsiTheme="minorHAnsi" w:cstheme="minorHAnsi"/>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073F7F" w:rsidRPr="00073F7F" w:rsidRDefault="00073F7F" w:rsidP="00073F7F">
      <w:pPr>
        <w:spacing w:before="100" w:beforeAutospacing="1" w:after="100" w:afterAutospacing="1"/>
        <w:rPr>
          <w:rFonts w:asciiTheme="minorHAnsi" w:hAnsiTheme="minorHAnsi" w:cstheme="minorHAnsi"/>
          <w:szCs w:val="24"/>
        </w:rPr>
      </w:pPr>
      <w:r w:rsidRPr="00073F7F">
        <w:rPr>
          <w:rFonts w:asciiTheme="minorHAnsi" w:hAnsiTheme="minorHAnsi" w:cstheme="minorHAnsi"/>
          <w:b/>
          <w:bCs/>
          <w:szCs w:val="24"/>
        </w:rPr>
        <w:t>Faculty Rights and Responsibilities</w:t>
      </w:r>
      <w:r w:rsidRPr="00073F7F">
        <w:rPr>
          <w:rFonts w:asciiTheme="minorHAnsi" w:hAnsiTheme="minorHAnsi" w:cstheme="minorHAnsi"/>
          <w:szCs w:val="24"/>
        </w:rPr>
        <w:t xml:space="preserve"> </w:t>
      </w:r>
      <w:r w:rsidRPr="00073F7F">
        <w:rPr>
          <w:rFonts w:asciiTheme="minorHAnsi" w:hAnsiTheme="minorHAnsi" w:cstheme="minorHAnsi"/>
          <w:szCs w:val="24"/>
        </w:rPr>
        <w:br/>
      </w:r>
      <w:r w:rsidRPr="00073F7F">
        <w:rPr>
          <w:rFonts w:asciiTheme="minorHAnsi" w:hAnsiTheme="minorHAnsi" w:cstheme="minorHAnsi"/>
          <w:szCs w:val="24"/>
        </w:rPr>
        <w:br/>
        <w:t>Florida Atlantic University respects the right of instructors to teach and students to learn. Maintenance of these rights requires classroom conditions which do not impede their exercise. To ensure these rights, faculty members have the prerogative:</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implement academic standards</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establish and enforce reasonable behavior standards in each class</w:t>
      </w:r>
    </w:p>
    <w:p w:rsidR="00073F7F" w:rsidRPr="00073F7F" w:rsidRDefault="00073F7F" w:rsidP="00073F7F">
      <w:pPr>
        <w:numPr>
          <w:ilvl w:val="0"/>
          <w:numId w:val="11"/>
        </w:numPr>
        <w:spacing w:before="100" w:beforeAutospacing="1" w:after="100" w:afterAutospacing="1"/>
        <w:rPr>
          <w:rFonts w:asciiTheme="minorHAnsi" w:hAnsiTheme="minorHAnsi" w:cstheme="minorHAnsi"/>
          <w:szCs w:val="24"/>
        </w:rPr>
      </w:pPr>
      <w:r w:rsidRPr="00073F7F">
        <w:rPr>
          <w:rFonts w:asciiTheme="minorHAnsi" w:hAnsiTheme="minorHAnsi" w:cstheme="minorHAnsi"/>
          <w:szCs w:val="24"/>
        </w:rPr>
        <w:t>To refer disciplinary action to those students whose behavior may be judged to be disruptive under the Student Code of Conduct.</w:t>
      </w:r>
    </w:p>
    <w:p w:rsidR="00156130" w:rsidRPr="00073F7F" w:rsidRDefault="00156130" w:rsidP="00156130">
      <w:pPr>
        <w:tabs>
          <w:tab w:val="left" w:pos="0"/>
        </w:tabs>
        <w:suppressAutoHyphens/>
        <w:jc w:val="center"/>
        <w:rPr>
          <w:rFonts w:asciiTheme="minorHAnsi" w:hAnsiTheme="minorHAnsi" w:cstheme="minorHAnsi"/>
          <w:b/>
          <w:szCs w:val="24"/>
        </w:rPr>
      </w:pPr>
    </w:p>
    <w:p w:rsidR="00156130" w:rsidRPr="00073F7F" w:rsidRDefault="00156130" w:rsidP="00097658">
      <w:pPr>
        <w:spacing w:after="200" w:line="276" w:lineRule="auto"/>
        <w:rPr>
          <w:rFonts w:asciiTheme="minorHAnsi" w:hAnsiTheme="minorHAnsi" w:cstheme="minorHAnsi"/>
          <w:szCs w:val="24"/>
        </w:rPr>
      </w:pPr>
    </w:p>
    <w:sectPr w:rsidR="00156130" w:rsidRPr="00073F7F" w:rsidSect="0063477D">
      <w:headerReference w:type="default" r:id="rId12"/>
      <w:pgSz w:w="12240" w:h="15840"/>
      <w:pgMar w:top="2700" w:right="1440" w:bottom="15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30A" w:rsidRDefault="0036030A" w:rsidP="0080524F">
      <w:r>
        <w:separator/>
      </w:r>
    </w:p>
  </w:endnote>
  <w:endnote w:type="continuationSeparator" w:id="0">
    <w:p w:rsidR="0036030A" w:rsidRDefault="0036030A" w:rsidP="0080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30A" w:rsidRDefault="0036030A" w:rsidP="0080524F">
      <w:r>
        <w:separator/>
      </w:r>
    </w:p>
  </w:footnote>
  <w:footnote w:type="continuationSeparator" w:id="0">
    <w:p w:rsidR="0036030A" w:rsidRDefault="0036030A" w:rsidP="00805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24F" w:rsidRDefault="0080524F">
    <w:pPr>
      <w:pStyle w:val="Header"/>
    </w:pPr>
    <w:r>
      <w:rPr>
        <w:noProof/>
      </w:rPr>
      <w:drawing>
        <wp:inline distT="0" distB="0" distL="0" distR="0">
          <wp:extent cx="6167120" cy="110823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74462" cy="110955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E4718"/>
    <w:multiLevelType w:val="singleLevel"/>
    <w:tmpl w:val="0409000F"/>
    <w:lvl w:ilvl="0">
      <w:start w:val="1"/>
      <w:numFmt w:val="decimal"/>
      <w:lvlText w:val="%1."/>
      <w:lvlJc w:val="left"/>
      <w:pPr>
        <w:tabs>
          <w:tab w:val="num" w:pos="360"/>
        </w:tabs>
        <w:ind w:left="360" w:hanging="360"/>
      </w:pPr>
    </w:lvl>
  </w:abstractNum>
  <w:abstractNum w:abstractNumId="5">
    <w:nsid w:val="2CCD6A5E"/>
    <w:multiLevelType w:val="hybridMultilevel"/>
    <w:tmpl w:val="D7F46D48"/>
    <w:lvl w:ilvl="0" w:tplc="D040E40A">
      <w:start w:val="1"/>
      <w:numFmt w:val="decimal"/>
      <w:lvlText w:val="(%1)"/>
      <w:lvlJc w:val="left"/>
      <w:pPr>
        <w:tabs>
          <w:tab w:val="num" w:pos="720"/>
        </w:tabs>
        <w:ind w:left="288" w:firstLine="7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0"/>
  </w:num>
  <w:num w:numId="4">
    <w:abstractNumId w:val="8"/>
  </w:num>
  <w:num w:numId="5">
    <w:abstractNumId w:val="4"/>
  </w:num>
  <w:num w:numId="6">
    <w:abstractNumId w:val="0"/>
  </w:num>
  <w:num w:numId="7">
    <w:abstractNumId w:val="9"/>
  </w:num>
  <w:num w:numId="8">
    <w:abstractNumId w:val="1"/>
  </w:num>
  <w:num w:numId="9">
    <w:abstractNumId w:val="11"/>
  </w:num>
  <w:num w:numId="10">
    <w:abstractNumId w:val="6"/>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26626"/>
  </w:hdrShapeDefaults>
  <w:footnotePr>
    <w:footnote w:id="-1"/>
    <w:footnote w:id="0"/>
  </w:footnotePr>
  <w:endnotePr>
    <w:endnote w:id="-1"/>
    <w:endnote w:id="0"/>
  </w:endnotePr>
  <w:compat/>
  <w:rsids>
    <w:rsidRoot w:val="00A70ACA"/>
    <w:rsid w:val="00013926"/>
    <w:rsid w:val="00073F7F"/>
    <w:rsid w:val="0007528B"/>
    <w:rsid w:val="000759AB"/>
    <w:rsid w:val="0008238B"/>
    <w:rsid w:val="00085136"/>
    <w:rsid w:val="00097658"/>
    <w:rsid w:val="000B33D6"/>
    <w:rsid w:val="000E4803"/>
    <w:rsid w:val="000E7E87"/>
    <w:rsid w:val="000F5160"/>
    <w:rsid w:val="00137559"/>
    <w:rsid w:val="00156130"/>
    <w:rsid w:val="00167951"/>
    <w:rsid w:val="00171FEF"/>
    <w:rsid w:val="00174368"/>
    <w:rsid w:val="001747F8"/>
    <w:rsid w:val="001A5048"/>
    <w:rsid w:val="001A602F"/>
    <w:rsid w:val="001B4975"/>
    <w:rsid w:val="001C3E7F"/>
    <w:rsid w:val="001D5182"/>
    <w:rsid w:val="001F0B81"/>
    <w:rsid w:val="001F5C3D"/>
    <w:rsid w:val="00221307"/>
    <w:rsid w:val="00227A80"/>
    <w:rsid w:val="00243E5F"/>
    <w:rsid w:val="00260F65"/>
    <w:rsid w:val="002967A2"/>
    <w:rsid w:val="002B0423"/>
    <w:rsid w:val="002B5B0A"/>
    <w:rsid w:val="00314BEA"/>
    <w:rsid w:val="003232D5"/>
    <w:rsid w:val="00350CD7"/>
    <w:rsid w:val="0036030A"/>
    <w:rsid w:val="003610C0"/>
    <w:rsid w:val="003903AE"/>
    <w:rsid w:val="003A6E72"/>
    <w:rsid w:val="003B6379"/>
    <w:rsid w:val="003C386E"/>
    <w:rsid w:val="003C4ECA"/>
    <w:rsid w:val="003E5FF2"/>
    <w:rsid w:val="003F3E36"/>
    <w:rsid w:val="003F4F0F"/>
    <w:rsid w:val="004169AC"/>
    <w:rsid w:val="00422DB0"/>
    <w:rsid w:val="00456CF2"/>
    <w:rsid w:val="004B6430"/>
    <w:rsid w:val="004C51BE"/>
    <w:rsid w:val="004D2EF0"/>
    <w:rsid w:val="004F06DD"/>
    <w:rsid w:val="00515209"/>
    <w:rsid w:val="00523130"/>
    <w:rsid w:val="0052690A"/>
    <w:rsid w:val="00554FB0"/>
    <w:rsid w:val="00563D3A"/>
    <w:rsid w:val="00564E67"/>
    <w:rsid w:val="00570CD7"/>
    <w:rsid w:val="00582282"/>
    <w:rsid w:val="005A5C11"/>
    <w:rsid w:val="005E1A14"/>
    <w:rsid w:val="006323FF"/>
    <w:rsid w:val="006334B2"/>
    <w:rsid w:val="0063477D"/>
    <w:rsid w:val="0068420C"/>
    <w:rsid w:val="00697BC0"/>
    <w:rsid w:val="006A447F"/>
    <w:rsid w:val="006B5F71"/>
    <w:rsid w:val="006D2290"/>
    <w:rsid w:val="006E59A0"/>
    <w:rsid w:val="006F464F"/>
    <w:rsid w:val="00742798"/>
    <w:rsid w:val="007569B0"/>
    <w:rsid w:val="007619EA"/>
    <w:rsid w:val="00767EF1"/>
    <w:rsid w:val="00770333"/>
    <w:rsid w:val="00784FB3"/>
    <w:rsid w:val="007A277D"/>
    <w:rsid w:val="007B2466"/>
    <w:rsid w:val="007B34B7"/>
    <w:rsid w:val="007B35F0"/>
    <w:rsid w:val="007C2169"/>
    <w:rsid w:val="007C31D8"/>
    <w:rsid w:val="007F2578"/>
    <w:rsid w:val="0080524F"/>
    <w:rsid w:val="0081209B"/>
    <w:rsid w:val="00813C01"/>
    <w:rsid w:val="00816F31"/>
    <w:rsid w:val="00823A22"/>
    <w:rsid w:val="00837A91"/>
    <w:rsid w:val="008469AE"/>
    <w:rsid w:val="00850B3E"/>
    <w:rsid w:val="0085207C"/>
    <w:rsid w:val="0085255E"/>
    <w:rsid w:val="00854B26"/>
    <w:rsid w:val="0088472D"/>
    <w:rsid w:val="00892831"/>
    <w:rsid w:val="008C2074"/>
    <w:rsid w:val="008E1267"/>
    <w:rsid w:val="008E597A"/>
    <w:rsid w:val="008F16E8"/>
    <w:rsid w:val="00901505"/>
    <w:rsid w:val="0092712A"/>
    <w:rsid w:val="00941072"/>
    <w:rsid w:val="0095311B"/>
    <w:rsid w:val="00962B17"/>
    <w:rsid w:val="00964AAB"/>
    <w:rsid w:val="00983D15"/>
    <w:rsid w:val="0098486C"/>
    <w:rsid w:val="009C1868"/>
    <w:rsid w:val="009D6D1B"/>
    <w:rsid w:val="00A373EF"/>
    <w:rsid w:val="00A413CA"/>
    <w:rsid w:val="00A4407B"/>
    <w:rsid w:val="00A50C8E"/>
    <w:rsid w:val="00A70ACA"/>
    <w:rsid w:val="00A76347"/>
    <w:rsid w:val="00A84076"/>
    <w:rsid w:val="00AA7470"/>
    <w:rsid w:val="00AC4FC1"/>
    <w:rsid w:val="00AC56F2"/>
    <w:rsid w:val="00B07D77"/>
    <w:rsid w:val="00B16E49"/>
    <w:rsid w:val="00B20032"/>
    <w:rsid w:val="00B215DC"/>
    <w:rsid w:val="00B278A0"/>
    <w:rsid w:val="00B3577B"/>
    <w:rsid w:val="00B57FD0"/>
    <w:rsid w:val="00B71B63"/>
    <w:rsid w:val="00B71CDE"/>
    <w:rsid w:val="00BB2A35"/>
    <w:rsid w:val="00BB5EF6"/>
    <w:rsid w:val="00BC267B"/>
    <w:rsid w:val="00C00C06"/>
    <w:rsid w:val="00C21D5A"/>
    <w:rsid w:val="00C4325D"/>
    <w:rsid w:val="00C55099"/>
    <w:rsid w:val="00C706DF"/>
    <w:rsid w:val="00CB418D"/>
    <w:rsid w:val="00CB5276"/>
    <w:rsid w:val="00CB5B9E"/>
    <w:rsid w:val="00CB7CF2"/>
    <w:rsid w:val="00CC664A"/>
    <w:rsid w:val="00CF060F"/>
    <w:rsid w:val="00D02253"/>
    <w:rsid w:val="00D069E4"/>
    <w:rsid w:val="00D14EE9"/>
    <w:rsid w:val="00D2268C"/>
    <w:rsid w:val="00D2763C"/>
    <w:rsid w:val="00D2777A"/>
    <w:rsid w:val="00D536FB"/>
    <w:rsid w:val="00D53D9D"/>
    <w:rsid w:val="00D617A5"/>
    <w:rsid w:val="00D721DA"/>
    <w:rsid w:val="00D802EF"/>
    <w:rsid w:val="00D8567C"/>
    <w:rsid w:val="00DA7728"/>
    <w:rsid w:val="00DB2135"/>
    <w:rsid w:val="00DB765E"/>
    <w:rsid w:val="00DF0CB7"/>
    <w:rsid w:val="00DF495C"/>
    <w:rsid w:val="00E025A8"/>
    <w:rsid w:val="00E10DB9"/>
    <w:rsid w:val="00E14718"/>
    <w:rsid w:val="00E42D28"/>
    <w:rsid w:val="00E4745B"/>
    <w:rsid w:val="00E47831"/>
    <w:rsid w:val="00E6750F"/>
    <w:rsid w:val="00E70648"/>
    <w:rsid w:val="00E73483"/>
    <w:rsid w:val="00E87008"/>
    <w:rsid w:val="00EA3F96"/>
    <w:rsid w:val="00EA7E56"/>
    <w:rsid w:val="00EB075B"/>
    <w:rsid w:val="00F0096C"/>
    <w:rsid w:val="00F20C3C"/>
    <w:rsid w:val="00F30770"/>
    <w:rsid w:val="00F732C6"/>
    <w:rsid w:val="00F83355"/>
    <w:rsid w:val="00F925A1"/>
    <w:rsid w:val="00F96C75"/>
    <w:rsid w:val="00FB44CB"/>
    <w:rsid w:val="00FB7357"/>
    <w:rsid w:val="00FC4207"/>
    <w:rsid w:val="00FC5C51"/>
    <w:rsid w:val="00FD21C9"/>
    <w:rsid w:val="00FD4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Normal (Web)"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 w:type="paragraph" w:styleId="NormalWeb">
    <w:name w:val="Normal (Web)"/>
    <w:basedOn w:val="Normal"/>
    <w:uiPriority w:val="99"/>
    <w:rsid w:val="00EA3F96"/>
    <w:pPr>
      <w:spacing w:before="100" w:beforeAutospacing="1" w:after="100" w:afterAutospacing="1"/>
    </w:pPr>
    <w:rPr>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rsid w:val="0080524F"/>
    <w:pPr>
      <w:tabs>
        <w:tab w:val="center" w:pos="4680"/>
        <w:tab w:val="right" w:pos="9360"/>
      </w:tabs>
    </w:pPr>
  </w:style>
  <w:style w:type="character" w:customStyle="1" w:styleId="FooterChar">
    <w:name w:val="Footer Char"/>
    <w:basedOn w:val="DefaultParagraphFont"/>
    <w:link w:val="Footer"/>
    <w:rsid w:val="0080524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usiness.fau.edu/undergraduate/current-students/registration-enrollment/understanding-your-grades/download.aspx?id=56"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fau.edu/academic/registrar/catalog/academics.php" TargetMode="External"/><Relationship Id="rId4" Type="http://schemas.openxmlformats.org/officeDocument/2006/relationships/settings" Target="settings.xml"/><Relationship Id="rId9" Type="http://schemas.openxmlformats.org/officeDocument/2006/relationships/hyperlink" Target="http://www.osd.fa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8BA2C-CF1F-4F44-92F1-734D0B45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0</TotalTime>
  <Pages>6</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3</cp:revision>
  <cp:lastPrinted>2012-12-12T14:18:00Z</cp:lastPrinted>
  <dcterms:created xsi:type="dcterms:W3CDTF">2013-11-23T17:42:00Z</dcterms:created>
  <dcterms:modified xsi:type="dcterms:W3CDTF">2013-11-25T15:01:00Z</dcterms:modified>
</cp:coreProperties>
</file>