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948055</wp:posOffset>
                </wp:positionH>
                <wp:positionV relativeFrom="paragraph">
                  <wp:posOffset>-57784</wp:posOffset>
                </wp:positionV>
                <wp:extent cx="3779520" cy="753110"/>
                <wp:wrapNone/>
                <wp:docPr id="4" name=""/>
                <a:graphic>
                  <a:graphicData uri="http://schemas.microsoft.com/office/word/2010/wordprocessingShape">
                    <wps:wsp>
                      <wps:cNvSpPr txBox="1">
                        <a:spLocks noChangeArrowheads="1"/>
                      </wps:cNvSpPr>
                      <wps:cNvPr id="1" name="Text Box 2"/>
                      <wps:spPr bwMode="auto">
                        <a:xfrm>
                          <a:off x="0" y="0"/>
                          <a:ext cx="3779520" cy="753110"/>
                        </a:xfrm>
                        <a:prstGeom prst="rect">
                          <a:avLst/>
                        </a:prstGeom>
                        <a:solidFill>
                          <a:srgbClr val="FFFFFF"/>
                        </a:solidFill>
                        <a:ln>
                          <a:noFill/>
                        </a:ln>
                      </wps:spPr>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948055</wp:posOffset>
                </wp:positionH>
                <wp:positionV relativeFrom="paragraph">
                  <wp:posOffset>-57784</wp:posOffset>
                </wp:positionV>
                <wp:extent cx="3779520" cy="753110"/>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779520" cy="7531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-57149</wp:posOffset>
            </wp:positionV>
            <wp:extent cx="1121410" cy="105981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121410" cy="105981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2610"/>
        <w:gridCol w:w="1170"/>
        <w:gridCol w:w="1170"/>
        <w:gridCol w:w="7"/>
        <w:tblGridChange w:id="0">
          <w:tblGrid>
            <w:gridCol w:w="4788"/>
            <w:gridCol w:w="2610"/>
            <w:gridCol w:w="1170"/>
            <w:gridCol w:w="1170"/>
            <w:gridCol w:w="7"/>
          </w:tblGrid>
        </w:tblGridChange>
      </w:tblGrid>
      <w:tr>
        <w:trPr>
          <w:trHeight w:val="315" w:hRule="atLeast"/>
        </w:trPr>
        <w:tc>
          <w:tcPr>
            <w:tcBorders>
              <w:top w:color="000000" w:space="0" w:sz="18" w:val="single"/>
              <w:left w:color="000000" w:space="0" w:sz="18" w:val="single"/>
              <w:bottom w:color="000000" w:space="0" w:sz="0" w:val="nil"/>
            </w:tcBorders>
            <w:vAlign w:val="top"/>
          </w:tcPr>
          <w:p w:rsidR="00000000" w:rsidDel="00000000" w:rsidP="00000000" w:rsidRDefault="00000000" w:rsidRPr="00000000" w14:paraId="0000000B">
            <w:pPr>
              <w:spacing w:after="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SUBJECT:</w:t>
            </w:r>
            <w:r w:rsidDel="00000000" w:rsidR="00000000" w:rsidRPr="00000000">
              <w:rPr>
                <w:rtl w:val="0"/>
              </w:rPr>
            </w:r>
          </w:p>
        </w:tc>
        <w:tc>
          <w:tcPr>
            <w:tcBorders>
              <w:top w:color="000000" w:space="0" w:sz="18" w:val="single"/>
              <w:bottom w:color="000000" w:space="0" w:sz="0" w:val="nil"/>
            </w:tcBorders>
            <w:vAlign w:val="top"/>
          </w:tcPr>
          <w:p w:rsidR="00000000" w:rsidDel="00000000" w:rsidP="00000000" w:rsidRDefault="00000000" w:rsidRPr="00000000" w14:paraId="0000000C">
            <w:pPr>
              <w:spacing w:after="60"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Effective Date:</w:t>
            </w:r>
            <w:r w:rsidDel="00000000" w:rsidR="00000000" w:rsidRPr="00000000">
              <w:rPr>
                <w:rtl w:val="0"/>
              </w:rPr>
            </w:r>
          </w:p>
        </w:tc>
        <w:tc>
          <w:tcPr>
            <w:gridSpan w:val="3"/>
            <w:tcBorders>
              <w:top w:color="000000" w:space="0" w:sz="18" w:val="single"/>
              <w:bottom w:color="000000" w:space="0" w:sz="0" w:val="nil"/>
              <w:right w:color="000000" w:space="0" w:sz="18" w:val="single"/>
            </w:tcBorders>
            <w:vAlign w:val="top"/>
          </w:tcPr>
          <w:p w:rsidR="00000000" w:rsidDel="00000000" w:rsidP="00000000" w:rsidRDefault="00000000" w:rsidRPr="00000000" w14:paraId="0000000D">
            <w:pPr>
              <w:spacing w:after="60"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Policy Number:</w:t>
            </w:r>
            <w:r w:rsidDel="00000000" w:rsidR="00000000" w:rsidRPr="00000000">
              <w:rPr>
                <w:rtl w:val="0"/>
              </w:rPr>
            </w:r>
          </w:p>
        </w:tc>
      </w:tr>
      <w:tr>
        <w:trPr>
          <w:trHeight w:val="315" w:hRule="atLeast"/>
        </w:trPr>
        <w:tc>
          <w:tcPr>
            <w:tcBorders>
              <w:top w:color="000000" w:space="0" w:sz="0" w:val="nil"/>
              <w:left w:color="000000" w:space="0" w:sz="18" w:val="single"/>
              <w:bottom w:color="000000" w:space="0" w:sz="0" w:val="nil"/>
            </w:tcBorders>
            <w:vAlign w:val="center"/>
          </w:tcPr>
          <w:p w:rsidR="00000000" w:rsidDel="00000000" w:rsidP="00000000" w:rsidRDefault="00000000" w:rsidRPr="00000000" w14:paraId="0000001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GUIDELINES ON CONFLICTS OF INTEREST, CONFLICTS OF COMMITMENT AND OUTSIDE ACTIVITIES, INCLUDING FINANCIAL INTERESTS</w:t>
            </w:r>
          </w:p>
        </w:tc>
        <w:tc>
          <w:tcPr>
            <w:tcBorders>
              <w:top w:color="000000" w:space="0" w:sz="0" w:val="nil"/>
              <w:bottom w:color="000000" w:space="0" w:sz="4" w:val="single"/>
            </w:tcBorders>
            <w:vAlign w:val="top"/>
          </w:tcPr>
          <w:p w:rsidR="00000000" w:rsidDel="00000000" w:rsidP="00000000" w:rsidRDefault="00000000" w:rsidRPr="00000000" w14:paraId="00000011">
            <w:pPr>
              <w:spacing w:after="60" w:lineRule="auto"/>
              <w:jc w:val="both"/>
              <w:rPr>
                <w:rFonts w:ascii="Arial" w:cs="Arial" w:eastAsia="Arial" w:hAnsi="Arial"/>
                <w:color w:val="c0c0c0"/>
                <w:sz w:val="22"/>
                <w:szCs w:val="22"/>
                <w:vertAlign w:val="baseline"/>
              </w:rPr>
            </w:pPr>
            <w:r w:rsidDel="00000000" w:rsidR="00000000" w:rsidRPr="00000000">
              <w:rPr>
                <w:rtl w:val="0"/>
              </w:rPr>
            </w:r>
          </w:p>
        </w:tc>
        <w:tc>
          <w:tcPr>
            <w:gridSpan w:val="3"/>
            <w:tcBorders>
              <w:top w:color="000000" w:space="0" w:sz="0" w:val="nil"/>
              <w:bottom w:color="000000" w:space="0" w:sz="4" w:val="single"/>
              <w:right w:color="000000" w:space="0" w:sz="18" w:val="single"/>
            </w:tcBorders>
            <w:vAlign w:val="top"/>
          </w:tcPr>
          <w:p w:rsidR="00000000" w:rsidDel="00000000" w:rsidP="00000000" w:rsidRDefault="00000000" w:rsidRPr="00000000" w14:paraId="00000012">
            <w:pPr>
              <w:spacing w:after="60" w:lineRule="auto"/>
              <w:jc w:val="both"/>
              <w:rPr>
                <w:rFonts w:ascii="Arial" w:cs="Arial" w:eastAsia="Arial" w:hAnsi="Arial"/>
                <w:color w:val="c0c0c0"/>
                <w:sz w:val="22"/>
                <w:szCs w:val="22"/>
                <w:vertAlign w:val="baseline"/>
              </w:rPr>
            </w:pPr>
            <w:r w:rsidDel="00000000" w:rsidR="00000000" w:rsidRPr="00000000">
              <w:rPr>
                <w:rtl w:val="0"/>
              </w:rPr>
            </w:r>
          </w:p>
          <w:p w:rsidR="00000000" w:rsidDel="00000000" w:rsidP="00000000" w:rsidRDefault="00000000" w:rsidRPr="00000000" w14:paraId="00000013">
            <w:pPr>
              <w:spacing w:after="60" w:lineRule="auto"/>
              <w:jc w:val="cente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8.3</w:t>
            </w:r>
          </w:p>
        </w:tc>
      </w:tr>
      <w:tr>
        <w:trPr>
          <w:trHeight w:val="315" w:hRule="atLeast"/>
        </w:trPr>
        <w:tc>
          <w:tcPr>
            <w:vMerge w:val="restart"/>
            <w:tcBorders>
              <w:top w:color="000000" w:space="0" w:sz="0" w:val="nil"/>
              <w:left w:color="000000" w:space="0" w:sz="18" w:val="single"/>
            </w:tcBorders>
            <w:vAlign w:val="center"/>
          </w:tcPr>
          <w:p w:rsidR="00000000" w:rsidDel="00000000" w:rsidP="00000000" w:rsidRDefault="00000000" w:rsidRPr="00000000" w14:paraId="00000016">
            <w:pPr>
              <w:spacing w:after="60" w:lineRule="auto"/>
              <w:jc w:val="both"/>
              <w:rPr>
                <w:rFonts w:ascii="Arial" w:cs="Arial" w:eastAsia="Arial" w:hAnsi="Arial"/>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17">
            <w:pPr>
              <w:spacing w:after="60"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Supersedes:</w:t>
            </w:r>
            <w:r w:rsidDel="00000000" w:rsidR="00000000" w:rsidRPr="00000000">
              <w:rPr>
                <w:rtl w:val="0"/>
              </w:rPr>
            </w:r>
          </w:p>
        </w:tc>
        <w:tc>
          <w:tcPr>
            <w:tcBorders>
              <w:bottom w:color="000000" w:space="0" w:sz="0" w:val="nil"/>
              <w:right w:color="000000" w:space="0" w:sz="0" w:val="nil"/>
            </w:tcBorders>
            <w:vAlign w:val="top"/>
          </w:tcPr>
          <w:p w:rsidR="00000000" w:rsidDel="00000000" w:rsidP="00000000" w:rsidRDefault="00000000" w:rsidRPr="00000000" w14:paraId="00000018">
            <w:pPr>
              <w:pStyle w:val="Heading2"/>
              <w:spacing w:after="60"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Page</w:t>
            </w:r>
            <w:r w:rsidDel="00000000" w:rsidR="00000000" w:rsidRPr="00000000">
              <w:rPr>
                <w:rtl w:val="0"/>
              </w:rPr>
            </w:r>
          </w:p>
        </w:tc>
        <w:tc>
          <w:tcPr>
            <w:gridSpan w:val="2"/>
            <w:tcBorders>
              <w:left w:color="000000" w:space="0" w:sz="0" w:val="nil"/>
              <w:bottom w:color="000000" w:space="0" w:sz="0" w:val="nil"/>
              <w:right w:color="000000" w:space="0" w:sz="18" w:val="single"/>
            </w:tcBorders>
            <w:vAlign w:val="top"/>
          </w:tcPr>
          <w:p w:rsidR="00000000" w:rsidDel="00000000" w:rsidP="00000000" w:rsidRDefault="00000000" w:rsidRPr="00000000" w14:paraId="00000019">
            <w:pPr>
              <w:pStyle w:val="Heading4"/>
              <w:spacing w:after="60"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Of</w:t>
            </w:r>
            <w:r w:rsidDel="00000000" w:rsidR="00000000" w:rsidRPr="00000000">
              <w:rPr>
                <w:rtl w:val="0"/>
              </w:rPr>
            </w:r>
          </w:p>
        </w:tc>
      </w:tr>
      <w:tr>
        <w:trPr>
          <w:trHeight w:val="315" w:hRule="atLeast"/>
        </w:trPr>
        <w:tc>
          <w:tcPr>
            <w:vMerge w:val="continue"/>
            <w:tcBorders>
              <w:top w:color="000000" w:space="0" w:sz="0" w:val="nil"/>
              <w:left w:color="000000" w:space="0" w:sz="18"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c>
          <w:tcPr>
            <w:tcBorders>
              <w:top w:color="000000" w:space="0" w:sz="0" w:val="nil"/>
              <w:bottom w:color="000000" w:space="0" w:sz="4" w:val="single"/>
            </w:tcBorders>
            <w:vAlign w:val="top"/>
          </w:tcPr>
          <w:p w:rsidR="00000000" w:rsidDel="00000000" w:rsidP="00000000" w:rsidRDefault="00000000" w:rsidRPr="00000000" w14:paraId="0000001C">
            <w:pPr>
              <w:spacing w:after="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Report of Outside Employment Guidelines</w:t>
            </w:r>
          </w:p>
          <w:p w:rsidR="00000000" w:rsidDel="00000000" w:rsidP="00000000" w:rsidRDefault="00000000" w:rsidRPr="00000000" w14:paraId="0000001D">
            <w:pPr>
              <w:spacing w:after="60" w:lineRule="auto"/>
              <w:rPr>
                <w:rFonts w:ascii="Arial" w:cs="Arial" w:eastAsia="Arial" w:hAnsi="Arial"/>
                <w:color w:val="000000"/>
                <w:sz w:val="22"/>
                <w:szCs w:val="22"/>
                <w:vertAlign w:val="baseline"/>
              </w:rPr>
            </w:pPr>
            <w:r w:rsidDel="00000000" w:rsidR="00000000" w:rsidRPr="00000000">
              <w:rPr>
                <w:rtl w:val="0"/>
              </w:rPr>
            </w:r>
          </w:p>
        </w:tc>
        <w:tc>
          <w:tcPr>
            <w:tcBorders>
              <w:top w:color="000000" w:space="0" w:sz="0" w:val="nil"/>
              <w:bottom w:color="000000" w:space="0" w:sz="4" w:val="single"/>
              <w:right w:color="000000" w:space="0" w:sz="0" w:val="nil"/>
            </w:tcBorders>
            <w:vAlign w:val="top"/>
          </w:tcPr>
          <w:p w:rsidR="00000000" w:rsidDel="00000000" w:rsidP="00000000" w:rsidRDefault="00000000" w:rsidRPr="00000000" w14:paraId="0000001E">
            <w:pPr>
              <w:pStyle w:val="Heading4"/>
              <w:spacing w:after="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w:t>
            </w:r>
          </w:p>
        </w:tc>
        <w:tc>
          <w:tcPr>
            <w:gridSpan w:val="2"/>
            <w:tcBorders>
              <w:top w:color="000000" w:space="0" w:sz="0" w:val="nil"/>
              <w:left w:color="000000" w:space="0" w:sz="0" w:val="nil"/>
              <w:bottom w:color="000000" w:space="0" w:sz="4" w:val="single"/>
              <w:right w:color="000000" w:space="0" w:sz="18" w:val="single"/>
            </w:tcBorders>
            <w:vAlign w:val="top"/>
          </w:tcPr>
          <w:p w:rsidR="00000000" w:rsidDel="00000000" w:rsidP="00000000" w:rsidRDefault="00000000" w:rsidRPr="00000000" w14:paraId="00000020">
            <w:pPr>
              <w:pStyle w:val="Heading4"/>
              <w:spacing w:after="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___</w:t>
            </w:r>
          </w:p>
        </w:tc>
      </w:tr>
      <w:tr>
        <w:trPr>
          <w:trHeight w:val="315" w:hRule="atLeast"/>
        </w:trPr>
        <w:tc>
          <w:tcPr>
            <w:vMerge w:val="continue"/>
            <w:tcBorders>
              <w:top w:color="000000" w:space="0" w:sz="0" w:val="nil"/>
              <w:left w:color="000000" w:space="0" w:sz="18" w:val="single"/>
            </w:tcBorders>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bottom w:color="000000" w:space="0" w:sz="0" w:val="nil"/>
              <w:right w:color="000000" w:space="0" w:sz="18" w:val="single"/>
            </w:tcBorders>
            <w:vAlign w:val="top"/>
          </w:tcPr>
          <w:p w:rsidR="00000000" w:rsidDel="00000000" w:rsidP="00000000" w:rsidRDefault="00000000" w:rsidRPr="00000000" w14:paraId="00000024">
            <w:pPr>
              <w:spacing w:after="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Responsible Authority:</w:t>
            </w:r>
            <w:r w:rsidDel="00000000" w:rsidR="00000000" w:rsidRPr="00000000">
              <w:rPr>
                <w:rtl w:val="0"/>
              </w:rPr>
            </w:r>
          </w:p>
          <w:p w:rsidR="00000000" w:rsidDel="00000000" w:rsidP="00000000" w:rsidRDefault="00000000" w:rsidRPr="00000000" w14:paraId="00000025">
            <w:pPr>
              <w:spacing w:after="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Provost </w:t>
            </w:r>
          </w:p>
          <w:p w:rsidR="00000000" w:rsidDel="00000000" w:rsidP="00000000" w:rsidRDefault="00000000" w:rsidRPr="00000000" w14:paraId="00000026">
            <w:pPr>
              <w:spacing w:after="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Vice President, Administrative Affairs</w:t>
            </w:r>
          </w:p>
          <w:p w:rsidR="00000000" w:rsidDel="00000000" w:rsidP="00000000" w:rsidRDefault="00000000" w:rsidRPr="00000000" w14:paraId="00000027">
            <w:pPr>
              <w:spacing w:after="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Chief Compliance &amp; Ethics Officer</w:t>
            </w:r>
          </w:p>
        </w:tc>
      </w:tr>
      <w:tr>
        <w:trPr>
          <w:trHeight w:val="63" w:hRule="atLeast"/>
        </w:trPr>
        <w:tc>
          <w:tcPr>
            <w:vMerge w:val="continue"/>
            <w:tcBorders>
              <w:top w:color="000000" w:space="0" w:sz="0" w:val="nil"/>
              <w:left w:color="000000" w:space="0" w:sz="18" w:val="single"/>
            </w:tcBorders>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tc>
        <w:tc>
          <w:tcPr>
            <w:gridSpan w:val="4"/>
            <w:tcBorders>
              <w:top w:color="000000" w:space="0" w:sz="0" w:val="nil"/>
              <w:bottom w:color="000000" w:space="0" w:sz="18" w:val="single"/>
              <w:right w:color="000000" w:space="0" w:sz="18" w:val="single"/>
            </w:tcBorders>
            <w:vAlign w:val="top"/>
          </w:tcPr>
          <w:p w:rsidR="00000000" w:rsidDel="00000000" w:rsidP="00000000" w:rsidRDefault="00000000" w:rsidRPr="00000000" w14:paraId="0000002C">
            <w:pPr>
              <w:spacing w:after="60" w:lineRule="auto"/>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30">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APPLICABILITY:</w:t>
      </w: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policy is applicable to all Florida Atlantic University Employees.</w:t>
      </w:r>
    </w:p>
    <w:p w:rsidR="00000000" w:rsidDel="00000000" w:rsidP="00000000" w:rsidRDefault="00000000" w:rsidRPr="00000000" w14:paraId="00000034">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DEFINITIONS:</w:t>
      </w:r>
      <w:r w:rsidDel="00000000" w:rsidR="00000000" w:rsidRPr="00000000">
        <w:rPr>
          <w:rtl w:val="0"/>
        </w:rPr>
      </w:r>
    </w:p>
    <w:p w:rsidR="00000000" w:rsidDel="00000000" w:rsidP="00000000" w:rsidRDefault="00000000" w:rsidRPr="00000000" w14:paraId="00000036">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highlight w:val="yellow"/>
          <w:u w:val="none"/>
          <w:vertAlign w:val="baseline"/>
          <w:rtl w:val="0"/>
        </w:rPr>
        <w:t xml:space="preserve">Conflict of interest</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Any situation in which a person serves or represents two distinct entities (or persons) or must choose between two conflicting interests. A "conflict of interest" encompasses situations in which a person has a personal interest in or receives a personal financial, economic, professional or personal gain or advantage of any kind from the person’s position with the University in a manner that may (or may appear to) inappropriately influence the person’s professional judgment, compromise the person’s abilities to carry out institutional responsibilities, be detrimental to the integrity and credibility of the University, adversely affect the educational programs and professional careers of individual students and faculty members, impede the dissemination of knowledge, or misuse or re-allocate University personnel and resources for private gain.</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highlight w:val="yellow"/>
          <w:u w:val="none"/>
          <w:vertAlign w:val="baseline"/>
          <w:rtl w:val="0"/>
        </w:rPr>
        <w:t xml:space="preserve">Conflict of commitment</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An individual’s distribution of effort between a University appointment, obligation, and commitment and external professionally-related or personal activities.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External activities may include teaching at another institution; consulting and other professional activities; and business activities related to outside entities including start-up companies.  A conflict of commitment can arise when the external activities, which may be with or without compensation, burden or interfere with the employee’s primary obligations and commitments to the University.  A conflict of commitment may occur if the outside activity will occur during the employee’s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regularly scheduled work hours.  The University recommends that full-time faculty engage in no more than an average of eight (8) hours per week on outside activities.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u w:val="none"/>
          <w:shd w:fill="auto" w:val="clear"/>
          <w:vertAlign w:val="baseline"/>
          <w:rtl w:val="0"/>
        </w:rPr>
        <w:t xml:space="preserve">COI Review Committee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 committee established to provide feedback for any outside activities that may be denied due to a conflict of interest or conflict of commitment.  The committee shall be comprised of representatives from the Office of the Provost, the Division of Research, and the Department of Human Resources, and shall be chaired by the University Chief Compliance and Ethics Officer.  The COI Review Committee may pull in additional individuals and resources as needed for any particular matter.</w:t>
      </w:r>
    </w:p>
    <w:p w:rsidR="00000000" w:rsidDel="00000000" w:rsidP="00000000" w:rsidRDefault="00000000" w:rsidRPr="00000000" w14:paraId="0000003A">
      <w:pPr>
        <w:jc w:val="both"/>
        <w:rPr>
          <w:rFonts w:ascii="Arial" w:cs="Arial" w:eastAsia="Arial" w:hAnsi="Arial"/>
          <w:color w:val="333333"/>
          <w:sz w:val="22"/>
          <w:szCs w:val="22"/>
          <w:vertAlign w:val="baseline"/>
        </w:rPr>
      </w:pPr>
      <w:r w:rsidDel="00000000" w:rsidR="00000000" w:rsidRPr="00000000">
        <w:rPr>
          <w:rFonts w:ascii="Arial" w:cs="Arial" w:eastAsia="Arial" w:hAnsi="Arial"/>
          <w:i w:val="1"/>
          <w:color w:val="333333"/>
          <w:sz w:val="22"/>
          <w:szCs w:val="22"/>
          <w:vertAlign w:val="baseline"/>
          <w:rtl w:val="0"/>
        </w:rPr>
        <w:t xml:space="preserve">Employee</w:t>
      </w:r>
      <w:r w:rsidDel="00000000" w:rsidR="00000000" w:rsidRPr="00000000">
        <w:rPr>
          <w:rFonts w:ascii="Arial" w:cs="Arial" w:eastAsia="Arial" w:hAnsi="Arial"/>
          <w:color w:val="333333"/>
          <w:sz w:val="22"/>
          <w:szCs w:val="22"/>
          <w:vertAlign w:val="baseline"/>
          <w:rtl w:val="0"/>
        </w:rPr>
        <w:t xml:space="preserve">: Any person possessing at least a .5 appointment at the University, other than student employees, OPS employees and graduate teaching assistants, and any University employee engaged in the design, conduct, or reporting of research regardless of FTE, full-time, or part-time status.</w:t>
      </w:r>
      <w:r w:rsidDel="00000000" w:rsidR="00000000" w:rsidRPr="00000000">
        <w:rPr>
          <w:rFonts w:ascii="Tahoma" w:cs="Tahoma" w:eastAsia="Tahoma" w:hAnsi="Tahoma"/>
          <w:i w:val="1"/>
          <w:color w:val="000000"/>
          <w:vertAlign w:val="baseline"/>
          <w:rtl w:val="0"/>
        </w:rPr>
        <w:t xml:space="preserve"> </w:t>
      </w:r>
      <w:r w:rsidDel="00000000" w:rsidR="00000000" w:rsidRPr="00000000">
        <w:rPr>
          <w:rFonts w:ascii="Arial" w:cs="Arial" w:eastAsia="Arial" w:hAnsi="Arial"/>
          <w:color w:val="333333"/>
          <w:sz w:val="22"/>
          <w:szCs w:val="22"/>
          <w:vertAlign w:val="baseline"/>
          <w:rtl w:val="0"/>
        </w:rPr>
        <w:t xml:space="preserve">Part-time, student, or OPS employees, including without limitation adjuncts and graduate teaching assistants, as well as volunteers, post-doctoral, graduate and undergraduate students working on contracts or grants may also be required or asked to complete disclosures or may also voluntarily complete a disclosure.  This definition of Employee is for the purposes of the reporting requirements in Section C below.  All FAU employees remain subject to the Florida Code of Ethics, including without limitations its standards of conduct and conflicting employment and contractual relationship provisions, and all FAU employees should disclose any outside activity or financial interest if a potential conflict of interest exists with regards to such activity or interest.</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highlight w:val="yellow"/>
          <w:u w:val="none"/>
          <w:vertAlign w:val="baseline"/>
          <w:rtl w:val="0"/>
        </w:rPr>
        <w:t xml:space="preserve">Financial interest</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Anything of value other than that provided directly by the University, including but not limited to equity interests (including any ownership stake in a startup company), interests in real or personal property, and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intellectual property rights.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highlight w:val="yellow"/>
          <w:u w:val="none"/>
          <w:vertAlign w:val="baseline"/>
          <w:rtl w:val="0"/>
        </w:rPr>
        <w:t xml:space="preserve">Florida Code of Ethics</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  The statutory provisions for public officers and employees found in Part III of Chapter 112</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of the Florida Statutes, including the requirement for certain FAU Employees to file a Statement of Financial Interests with the Florida Commission on Ethics on an annual basis and as otherwise required by law.  Other terms used in this policy not specifically defined may be defined in the Florida Code of Ethics.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highlight w:val="yellow"/>
          <w:u w:val="none"/>
          <w:vertAlign w:val="baseline"/>
          <w:rtl w:val="0"/>
        </w:rPr>
        <w:t xml:space="preserve">Management Plan</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 document approved, in conjunction with an employee’s supervisor and the college dean or the unit director, and the applicable Provost or Vice President, that outlines specific actions which will be taken or conditions that will be conformed to minimize or eliminate the risk of a conflict of interest, when managing the conflict is reasonably feasible.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1"/>
          <w:smallCaps w:val="0"/>
          <w:strike w:val="0"/>
          <w:color w:val="333333"/>
          <w:sz w:val="22"/>
          <w:szCs w:val="22"/>
          <w:u w:val="none"/>
          <w:shd w:fill="auto" w:val="clear"/>
          <w:vertAlign w:val="baseline"/>
          <w:rtl w:val="0"/>
        </w:rPr>
        <w:t xml:space="preserve">Outside activity: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Anything an employee does for an organization or an individual, other than the University, that is related to the employee’s expertise.</w:t>
      </w:r>
    </w:p>
    <w:p w:rsidR="00000000" w:rsidDel="00000000" w:rsidP="00000000" w:rsidRDefault="00000000" w:rsidRPr="00000000" w14:paraId="0000003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POLICY STATEMENT:</w:t>
      </w:r>
      <w:r w:rsidDel="00000000" w:rsidR="00000000" w:rsidRPr="00000000">
        <w:rPr>
          <w:rtl w:val="0"/>
        </w:rPr>
      </w:r>
    </w:p>
    <w:p w:rsidR="00000000" w:rsidDel="00000000" w:rsidP="00000000" w:rsidRDefault="00000000" w:rsidRPr="00000000" w14:paraId="00000040">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1">
      <w:pPr>
        <w:numPr>
          <w:ilvl w:val="0"/>
          <w:numId w:val="1"/>
        </w:numPr>
        <w:ind w:left="360" w:hanging="360"/>
        <w:jc w:val="both"/>
        <w:rPr>
          <w:rFonts w:ascii="Arial" w:cs="Arial" w:eastAsia="Arial" w:hAnsi="Arial"/>
          <w:b w:val="0"/>
          <w:color w:val="333333"/>
          <w:sz w:val="22"/>
          <w:szCs w:val="22"/>
          <w:u w:val="single"/>
        </w:rPr>
      </w:pPr>
      <w:r w:rsidDel="00000000" w:rsidR="00000000" w:rsidRPr="00000000">
        <w:rPr>
          <w:rFonts w:ascii="Arial" w:cs="Arial" w:eastAsia="Arial" w:hAnsi="Arial"/>
          <w:b w:val="0"/>
          <w:color w:val="333333"/>
          <w:sz w:val="22"/>
          <w:szCs w:val="22"/>
          <w:u w:val="single"/>
          <w:vertAlign w:val="baseline"/>
          <w:rtl w:val="0"/>
        </w:rPr>
        <w:t xml:space="preserve">INTRODUCTION</w:t>
      </w:r>
    </w:p>
    <w:p w:rsidR="00000000" w:rsidDel="00000000" w:rsidP="00000000" w:rsidRDefault="00000000" w:rsidRPr="00000000" w14:paraId="00000042">
      <w:pPr>
        <w:jc w:val="both"/>
        <w:rPr>
          <w:b w:val="0"/>
          <w:sz w:val="22"/>
          <w:szCs w:val="22"/>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Employees of Florida Atlantic University may engage in outside employment, consulting, and other similar activities. These activities further the dissemination and use of the knowledge and expertise </w:t>
      </w:r>
      <w:r w:rsidDel="00000000" w:rsidR="00000000" w:rsidRPr="00000000">
        <w:rPr>
          <w:rFonts w:ascii="Arial" w:cs="Arial" w:eastAsia="Arial" w:hAnsi="Arial"/>
          <w:b w:val="0"/>
          <w:i w:val="0"/>
          <w:smallCaps w:val="0"/>
          <w:strike w:val="1"/>
          <w:color w:val="333333"/>
          <w:sz w:val="22"/>
          <w:szCs w:val="22"/>
          <w:u w:val="none"/>
          <w:shd w:fill="auto" w:val="clear"/>
          <w:vertAlign w:val="baseline"/>
          <w:rtl w:val="0"/>
        </w:rPr>
        <w:t xml:space="preserve">developed at the </w:t>
      </w:r>
      <w:commentRangeStart w:id="0"/>
      <w:r w:rsidDel="00000000" w:rsidR="00000000" w:rsidRPr="00000000">
        <w:rPr>
          <w:rFonts w:ascii="Arial" w:cs="Arial" w:eastAsia="Arial" w:hAnsi="Arial"/>
          <w:b w:val="0"/>
          <w:i w:val="0"/>
          <w:smallCaps w:val="0"/>
          <w:strike w:val="1"/>
          <w:color w:val="333333"/>
          <w:sz w:val="22"/>
          <w:szCs w:val="22"/>
          <w:u w:val="none"/>
          <w:shd w:fill="auto" w:val="clear"/>
          <w:vertAlign w:val="baseline"/>
          <w:rtl w:val="0"/>
        </w:rPr>
        <w:t xml:space="preserve">university</w:t>
      </w:r>
      <w:commentRangeEnd w:id="0"/>
      <w:r w:rsidDel="00000000" w:rsidR="00000000" w:rsidRPr="00000000">
        <w:commentReference w:id="0"/>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and may also advance the professional competence and reputation of the faculty and staff members. Thus, participation in outside activities may often serve the mission of the university in addition to benefiting individual employees. Such activities and the financial interests of faculty and staff members are of concern if they result in conflicts with the employees' duties and responsibilities to the university.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It is the policy of the university that faculty and staff members may participate in outside activities and hold financial interests as long as the activities and interests do not conflict with these duties and responsibilities.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In recent years, governmental entities have increasingly encouraged colleges and universities to pursue research leading to new products and processes and then to develop such new products, often in conjunction with the institution's own licensing program. Faculty members and other employees may be encouraged to participate as consultants, employees, managers, and owners of companies to which the new technology is licensed. The university may conduct further research on the technology through the efforts of the same faculty members or other employees. These activities increase the potential for conflicts of interest.</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There are many regulations and laws that must be taken into account in the area of conflict of interest, conflict of commitment, outside activities, and financial interests. As state employees, the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faculty and staff of the University are bound by the Florida Code of Ethics.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The University also has regulations and policies and has entered into collective bargaining agreements dealing with outside activities and conflict of interest. Further, as a member of the National Collegiate Athletic Association, the University and its employees must also be compliant with applicable NCAA bylaws and rules. Nothing in this policy shall be construed to permit, even with disclosure, any activity that is prohibited by law or other regulatory authority.</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1"/>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In addition, the process for disclosing and managing conflicts of interest as described in this policy are the minimum steps that must be taken by an employee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It is possible that a particular situation or activity may call for specific steps beyond those outlined here for proper disclosure and/or management of a conflict. Particular units and activities of the University may also have specific conflict of interest policies or guidelines.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Those specific policies may in certain cases be more restrictive than this University-wide policy.</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B.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BASIC PRINCIPLES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Conflicts of interest include a variety of situations in which an employee is faced with conflicting loyalties. Traditionally of most concern are those situations in which regard for a private interest may lead to a disregard of the faculty or staff member’s duties toward the university and its mission.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Most often these arise when personal economic interests conflict with the duties toward the institution.</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For example, a conflict occurs when a faculty or staff member influences a decision of the university or a decision of a student if a personal economic benefit to the faculty or staff member may arise from that decision. There is a conflict of interest when a purchasing agent buys goods from a company and is an employee of the company at the same time. There is a conflict when a faculty member recommends that goods be purchased from a company in which the faculty member or the faculty member's spouse or child has a financial interest. There is a conflict when a faculty member recommends that a student pursue research in an area that would benefit the commercialization of a product of a company in which the faculty member has a financial interest. In these situations, the faculty or staff member has the opportunity to use his or her position and influence within the university to advance his or her personal economic gain.</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Although a specific work-week is not defined for faculty members, it is expected that such faculty membership constitutes a full-time obligation and that, with the exceptions explicitly permitted by University policies on external activities must not interfere with the primary commitments to teaching, research and service.  External activities must not distract significantly from the primary responsibilities and must not require such extensive absence as to cause the faculty member to neglect course obligations or become unavailable to students and colleagues.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Conflicts of commitment may arise that inhibit the employee's duty of loyalty or commitment to the University.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For example, a conflict of commitment occurs when a faculty member enters into a consulting agreement which impairs his or her ability to do research or other activities at the university or which results in the potential transfer of intellectual property rights which would otherwise belong to the university</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commentRangeStart w:id="1"/>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w:t>
      </w:r>
      <w:commentRangeEnd w:id="1"/>
      <w:r w:rsidDel="00000000" w:rsidR="00000000" w:rsidRPr="00000000">
        <w:commentReference w:id="1"/>
      </w:r>
      <w:commentRangeStart w:id="2"/>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conflict of commitment is also presented when a faculty member owns a company that competes with the university for corporate and governmental research grants and contracts. In another example, by serving as an expert witness, a faculty member causes his or her own research data and that of university colleagues and students to be revealed prematurely in the course of a lawsuit, thereby compromising the ability of university colleagues and students to publish their research results. </w:t>
      </w:r>
      <w:commentRangeEnd w:id="2"/>
      <w:r w:rsidDel="00000000" w:rsidR="00000000" w:rsidRPr="00000000">
        <w:commentReference w:id="2"/>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There is a conflict when a faculty member accepts a gift of travel expenses from a company manufacturing certain products if one of the faculty member's duties is to do research in order to formulate recommendations on the use of such products.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Conflicts may arise even in instances in which the faculty or staff member will not receive any economic benefit from the outside activity. For example, a conflict is evident if a faculty member's obligations to the university in terms of teaching and advising are not met due to the time spent on the outside activity. The conflict exists even though the activity may provide no remuneration to the faculty member.</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Because a “conflict of interest” or “conflict of commitment” depends on the situation in which an individual is placed, rather than the character or actions of the individual, a conflict is not necessarily “bad” or prohibited. Such conflicts confront most of us at various times because we have personal, business, or professional loyalties that may be in conflict. </w:t>
      </w:r>
      <w:commentRangeStart w:id="3"/>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Some conflicts, however, present such a potential for a breach of one's duty to a particular employer, person, or entity that they must either be permitted with conditions, including a Management Plan with review and oversight by other institutional representatives, or prohibited.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Various activities of faculty members for organizations outside the university may be considered to be within the scope of the faculty member's duties as a university employee. For example, service for certain professional organizations may be considered within the responsibilities of the faculty member and, if so, would not be an "outside activity" required to be disclosed. </w:t>
      </w:r>
      <w:commentRangeStart w:id="4"/>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However</w:t>
      </w:r>
      <w:commentRangeEnd w:id="4"/>
      <w:r w:rsidDel="00000000" w:rsidR="00000000" w:rsidRPr="00000000">
        <w:commentReference w:id="4"/>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 such activities must be approved as part of the employee’s university responsibilities/assignmen</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  Further, even when these activities are considered within the scope of the faculty member's duties, the faculty member must protect the university’s intellectual property rights and should remain aware of the conflict of interest considerations that may arise when performing work for organizations separate from the university.</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those periods in which the employee has no appointment with the university, the employee should still be aware of the conflict of interest considerations that may arise. For example, a faculty member employed on a nine-month appointment should be aware of the conflicts created by his or her employment during the summer months by the same sponsoring entity that supports his or her research under a research contract with the university during the remainder of the year. Only the Vice President for Research or his or her designee can approve a waiver of University intellectual property rights in connection with any activities conducted during such periods.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commentRangeStart w:id="5"/>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Faculty and staff members are primarily responsible for determining and disclosing their own outside activities and financial interests. Both they and the university benefit from disclosure and discussion of possible problems concerning outside activities and financial interests.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REPORTING REQUIREMENTS</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commentRangeStart w:id="6"/>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All Employees, whether or not they are engaged in outside activities or hold a financial interest, are required to complete Florida Atlantic University's "Report of Outside Employment or Professional Activity" form at the beginning of each contractual year of employment (generally, the beginning of the fall semester for 9-month appointments and July 1 for all others)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and</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prior </w:t>
      </w:r>
      <w:commentRangeEnd w:id="6"/>
      <w:r w:rsidDel="00000000" w:rsidR="00000000" w:rsidRPr="00000000">
        <w:commentReference w:id="6"/>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to the commencement of any outside activity or financial interest.</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If an Employee has no information to disclose, a report must still be completed.  If a material change in the information presented occurs during the appointment year, a new form must be submitted. If more than one activity or financial interest must be reported, separate forms for the various activities and interests should be filled out.  Separate disclosures are also required for all sponsored projects as noted in Section D below.</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primary purpose of the disclosures required on the "Report of Outside Employment or Professional Activity” form is to identify those activities and interests that pose potential conflicts of interest, and/or conflicts of commitment. This initial determination should be accomplished in consultation with the employee’s immediate supervisor.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In those situations where a potential conflict of interest or conflict of commitment exists, the activity or interest may be allowed after disclosure and the development of a Management Plan, or it may be disallowed.</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All outside employment, compensated activity, and continuing business activity (including managerial interests or managerial positions) should be reported, including times during which .  </w:t>
      </w:r>
      <w:r w:rsidDel="00000000" w:rsidR="00000000" w:rsidRPr="00000000">
        <w:rPr>
          <w:rFonts w:ascii="Arial" w:cs="Arial" w:eastAsia="Arial" w:hAnsi="Arial"/>
          <w:b w:val="0"/>
          <w:i w:val="0"/>
          <w:smallCaps w:val="0"/>
          <w:strike w:val="1"/>
          <w:color w:val="333333"/>
          <w:sz w:val="22"/>
          <w:szCs w:val="22"/>
          <w:highlight w:val="yellow"/>
          <w:u w:val="none"/>
          <w:vertAlign w:val="baseline"/>
          <w:rtl w:val="0"/>
        </w:rPr>
        <w:t xml:space="preserve">U</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uncompensated activities and financial interests (including financial interests of an employee’s spouse and children) may also need to be reported if they fall within any of the categories described below.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The reporting requirements apply for any period in which an employee is employed by the university, including any time that the employee does not have a current assignment or is in leave </w:t>
      </w:r>
      <w:commentRangeStart w:id="7"/>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status</w:t>
      </w:r>
      <w:commentRangeEnd w:id="7"/>
      <w:r w:rsidDel="00000000" w:rsidR="00000000" w:rsidRPr="00000000">
        <w:commentReference w:id="7"/>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following outside activities and financial interests are examples of those, whether compensated or uncompensated, domestic or foreign, that must be reported and approved prior to engaging in the activity:  </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in which there is more than an incidental use of university facilities, equipment, and/or services.</w:t>
      </w:r>
    </w:p>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highlight w:val="yellow"/>
          <w:u w:val="none"/>
        </w:rPr>
      </w:pP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Outside activities in which a university student or other university employee is directly or indirectly supervised or evaluated by the employee.</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Management, employment, consulting, and contractual activities with, or ownership interests in, a business entity (or state agency) which does business with the university. In the case of material financial and managerial interests, the information required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extends to the spouse and children of the employee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and for managerial interests, to relatives.</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commentRangeStart w:id="8"/>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Management, employment, consulting, and other contractual activities with, or ownership interest in, a business entity which competes with the university.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Candidacy for public office.</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Required use of books, supplies, equipment, or other instructional resources at the university when they are created or published by the employee or by an entity in which the employee has a financial interest.</w:t>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commentRangeStart w:id="9"/>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Professional compensated activities, including, but not limited to, consulting, teaching at another domestic or foreign institution regardless of whether the employee has a current assignment, participating in an activity in which an honorarium </w:t>
      </w:r>
      <w:commentRangeEnd w:id="9"/>
      <w:r w:rsidDel="00000000" w:rsidR="00000000" w:rsidRPr="00000000">
        <w:commentReference w:id="9"/>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in excess of travel expenses is to be received, and retention as an expert witness.</w:t>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Business activities, including service on the board of directors or other management interests or position, with regard to a business entity with activities in the same discipline or field in which the faculty or staff member is employed.</w:t>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Any employment, contractual relationship, or financial interests of the employee which may create a continuing or recurring conflict between the employee's interests and the performance of the employee's public responsibilities and obligations, including time commitments. This includes any outside activity in which the employee is required to waive rights to intellectual property and any outside activity or financial interest with a business entity which supports the employee’s research or training program at the University.</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and financial interests required to be reported under government contract and grant regulations.</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with a domestic or foreign talent program.</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commentRangeStart w:id="10"/>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that include the provision of paid or unpaid services, such as consulting, to a domestic or foreign entity.</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that include appointments at domestic or foreign institutions or entities.</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involving: (i) any research funded, directly or indirectly, by a domestic or foreign institution or entity, or </w:t>
      </w:r>
      <w:commentRangeStart w:id="11"/>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(ii) a research collaboration with scientists or researchers within or outside of the United States.  </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50" w:before="0" w:line="240" w:lineRule="auto"/>
        <w:ind w:left="720" w:right="0" w:hanging="360"/>
        <w:jc w:val="both"/>
        <w:rPr>
          <w:rFonts w:ascii="Arial" w:cs="Arial" w:eastAsia="Arial" w:hAnsi="Arial"/>
          <w:b w:val="0"/>
          <w:i w:val="0"/>
          <w:smallCaps w:val="0"/>
          <w:strike w:val="0"/>
          <w:color w:val="333333"/>
          <w:sz w:val="22"/>
          <w:szCs w:val="22"/>
          <w:u w:val="none"/>
          <w:shd w:fill="auto" w:val="clear"/>
        </w:rPr>
      </w:pPr>
      <w:commentRangeStart w:id="12"/>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or financial interests which otherwise interfere with the employee's duties to the University or affect the integrity of the University. These duties include the employee's duties to students and the public clientele served by the faculty or staff member, the duty to maintain the freedom of scholarly inquiry and dissemination of knowledge, and the duty to protect the rights of the university and fellow employees and students to intellectual property developed by them as well as by the faculty or staff member. Only the university through the Vice President for Research or his or her designee may approve any waiver of university rights to intellectual property in connection with an outside activity.</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The responsibility for adhering to the law and regulations on conflict of interest, conflict of commitment and outside activities rests with the individual faculty or staff </w:t>
      </w:r>
      <w:commentRangeStart w:id="13"/>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member</w:t>
      </w:r>
      <w:commentRangeEnd w:id="13"/>
      <w:r w:rsidDel="00000000" w:rsidR="00000000" w:rsidRPr="00000000">
        <w:commentReference w:id="13"/>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Full disclosure and discussion of all potential and actual conflicts allows the university to address the issues involved and prevent problems arising for both the faculty or staff member and the university in the future. The review and oversight responsibility rests primarily with the chair, director, or supervisor, and the dean or vice president of the unit in which the faculty or staff member is employed. An employee must provide sufficient information to those with review and oversight responsibility to enable them to make an informed decision concerning the outside activity or financial interest.</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REPORTING REQUIREMENTS RELATED TO SPONSORED PROJECTS</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Federal conflict of interest laws and regulations require that the university manage, reduce, or eliminate any actual or potential conflicts of interest that may be presented by certain compensated outside activities and other financial interests of persons involved in sponsored research projects funded by the government. The primary purpose of the federal regulations is to prevent bias in the design, conduct, or reporting of funded research projects.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University applies these federal conflict of interest laws and regulations to all funded research, regardless of funding source.  These requirements are captured in the Division of Research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Financial Conflict of Interest (FCOI) Policy</w:t>
        </w:r>
      </w:hyperlink>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Conflict of interests relating to sponsored projects shall be reviewed and managed pursuant to the requirements of the FCOI Policy and the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Division of Research Financial Conflict of interest Review Process</w:t>
        </w:r>
      </w:hyperlink>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E.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GUIDELINES FOR ALLOWANCE OF OUTSIDE ACTIVITIES AND FINANCIAL INTERESTS</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commentRangeStart w:id="14"/>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university has declined to set forth rigid rules, </w:t>
      </w:r>
      <w:commentRangeEnd w:id="14"/>
      <w:r w:rsidDel="00000000" w:rsidR="00000000" w:rsidRPr="00000000">
        <w:commentReference w:id="14"/>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but recognizes that there are conflict situations which must be prohibited, conflict situations which may be allowed with conditions and oversight, and outside activities and interests that are generally allowed. The guidelines that follow are designed to assist faculty, administrative and professional staff, and other employees, as well as department chairpersons, directors, deans, and other supervisors, evaluate conflict of interest situations. Individual colleges and units may develop and implement more specific procedures and require additional information in furtherance of this policy.</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Any outside activities or financial interests which are prohibited by state law cannot be allowed. The most significant of these prohibitions are those concerning financial interests, employment, and other contractual relationships with an entity doing business with the university. This prohibition generally would prohibit, for example, any transaction between the university and a company owned by an employee unless one of the exemptions set forth in the law applies. Similarly, a research contract between the university and a company cannot support the research of a faculty member who has a contractual relationship (such as a consulting arrangement) with, or a financial interest in, that company unless an exemption applies.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Also prohibited under the Florida Code of Ethics are those outside employment or contractual relationships which would create a "continuing or frequently recurring conflict" between the employee's private interest and the performance of his or her public duties or "that would impede the full and faithful discharge of his or her public duties." Thus, an employee employed to develop software in a given field for the university could not be employed to develop the same kind of software elsewhere. Such employment would create a "continuing or frequently recurring conflict." Outside activities or contractual relationships with a company that supports the research or training activities of a faculty member create such a conflict and, thus, are not allowed unless an exemption applies.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Moreover, outside activities or financial interests in a company that will be directly and significantly affected by the research activities of the faculty or staff member should only be permitted if they do not create a “continuing or recurring conflict.”  Similarly, outside activities or financial interests in a company involving students or employees of the university in any way evaluated, taught, or directed by the faculty or staff member at the university are strongly discouraged and should be avoided if at all possible.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Certain outside activities or financial interests are permissible by exemption in the Florida Code of Ethics. With regard to doing business with the university, for example, this includes an exemption for certain research and license agreements, sole source purchases, or transactions of under $500 in a calendar year. The exemption for research and license agreements requires approvals as explained in Section H.1. of these guidelines.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Outside activities and interests that present potential conflicts may be allowed when conditions have been established through which any conflicts may be minimized. For example, a conflict situation may be allowed under a Management Plan with the faculty member which requires oversight in some instances by persons external to the faculty member's department or college. If a Management Plan cannot reasonably mitigate the conflict, the employee may choose to divest themselves of the activity or interest. In addition, disclosure of a conflict situation to others besides those reviewing the Report of Outside Employment or Professional Activity and Disclosure of Outside Activities and Financial Interests may be required.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In the case of textbooks and instructional materials</w:t>
      </w:r>
      <w:r w:rsidDel="00000000" w:rsidR="00000000" w:rsidRPr="00000000">
        <w:rPr>
          <w:rFonts w:ascii="Arial" w:cs="Arial" w:eastAsia="Arial" w:hAnsi="Arial"/>
          <w:b w:val="0"/>
          <w:i w:val="1"/>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 faculty member or other instructor may only require students to buy textbooks or instructional materials in which he or she has authored or holds a financial interest in accordance with FAU policies and regulations, including without limitation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FAU Regulation 5.011 University Ethics</w:t>
        </w:r>
      </w:hyperlink>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FAU Regulation 3.004 Textbook and Instructional Materials Affordability</w:t>
        </w:r>
      </w:hyperlink>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and the </w:t>
      </w:r>
      <w:hyperlink r:id="rId1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Provost’s Memorandum on Procedures for Selecting Textbooks for Affordability</w:t>
        </w:r>
      </w:hyperlink>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Recognizing that colleges and departments within the University have unique attributes,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a unit may develop guidelines that will assist members of its faculty and staff to deal with the particular conflict situations that may arise with regard to their particular services and fields.</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All such guidelines must be approved by the dean or director of the unit involved and the Office of the Provost or the appropriate Vice President.</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Direct support organizations of the university may have conflict of interest policies applicable to their directors, officers, and employees. University employees acting as directors or officers or providing services to the organization must disclose any financial interests in any business entity doing business with the direct support organization and must comply with the organization’s conflict of interest policies in connection with any procurement or other business transactions with the organization.</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Florida Atlantic University Research Corporation may take equity interests in commercial enterprises that license university technology and/or support ongoing research at the university. In such cases, the potential conflicts of the faculty members and other employees involved with the commercial enterprise are handled as set forth in Section H.1. below.</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Any use of university equipment, facilities or services with regard to an outside activity must be approved prior to the activity.</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In general, the use of these resources will be allowed only to the extent they do not interfere with university use, and a charge may be assessed.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Any employee engaging in outside activities must recognize that he or she is performing such activities as an individual and may not represent that he or she is acting on behalf of the university</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For example, an employee may not use Florida Atlantic University letterhead or a Florida Atlantic University email address in conducting outside activities. The employee must take reasonable precautions to ensure that the outside employer or other recipient of services understands that the employee is engaging in the outside activity as a private citizen and not as an employee, agent, or spokesperson of the </w:t>
      </w:r>
      <w:commentRangeStart w:id="15"/>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university</w:t>
      </w:r>
      <w:commentRangeEnd w:id="15"/>
      <w:r w:rsidDel="00000000" w:rsidR="00000000" w:rsidRPr="00000000">
        <w:commentReference w:id="15"/>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commentRangeStart w:id="16"/>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In general, the majority of outside activities are allowed if they do not interfere with the employee's performance of his or her University obligations. </w:t>
      </w:r>
      <w:commentRangeEnd w:id="16"/>
      <w:r w:rsidDel="00000000" w:rsidR="00000000" w:rsidRPr="00000000">
        <w:commentReference w:id="16"/>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However, determining whether a particular situation involves a conflict of interest or conflict of commitment is dependent on reviewing all the facts of the specific situation, which underscores the importance of disclosure and discussion of possible conflicts.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F.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REVIEW PROCEDURES</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w:t>
      </w:r>
      <w:commentRangeStart w:id="17"/>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he following persons must review and approve the activities and financial interests reported on the “Report of Outside Employment or Professional Activity”: </w:t>
      </w:r>
      <w:commentRangeEnd w:id="17"/>
      <w:r w:rsidDel="00000000" w:rsidR="00000000" w:rsidRPr="00000000">
        <w:commentReference w:id="17"/>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(1) chair or director; (2) dean, if applicable; (3) </w:t>
      </w:r>
      <w:commentRangeStart w:id="18"/>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Vice President for Research or designee, </w:t>
      </w:r>
      <w:commentRangeEnd w:id="18"/>
      <w:r w:rsidDel="00000000" w:rsidR="00000000" w:rsidRPr="00000000">
        <w:commentReference w:id="18"/>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if intellectual property rights are to be waived; and (4) Provost or Vice President or designee</w:t>
      </w:r>
      <w:commentRangeStart w:id="19"/>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Employees engaged in the design, conduct, or reporting of research must receive a determination from the Provost or their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Vice President or designee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that their outside activity or financial interest does not affect the integrity of the University.</w:t>
      </w:r>
      <w:commentRangeEnd w:id="19"/>
      <w:r w:rsidDel="00000000" w:rsidR="00000000" w:rsidRPr="00000000">
        <w:commentReference w:id="19"/>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If there are any questions or concerns with regard to a particular disclosure, a conference is encouraged between the faculty or staff member and his or her chair or other immediate supervisor.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highlight w:val="yellow"/>
          <w:u w:val="none"/>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At any stage in the review and approval process, if any individual required for approval contemplates or desires to deny approval of the outside activity, the matter may be referred to the COI Review Committee for review and feedback before any such decision is made.  Once feedback is received from the COI Review Committee, if the disclosed outside activity or interest is disallowed, an in-unit faculty member may file an expedited grievance through the collective bargaining agreement. All other faculty members and employees may file a grievance pursuant to FAU Regulation 5.009.</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G.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SANCTIONS</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The failure to report outside activities and financial interests, engaging in the activities or holding the financial interests without the University’s approval, and/or failing to follow any conditions imposed pursuant to the University’s approval of such activities are grounds for disciplinary action</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Examples of sanctions are: disallowance or limiting outside activities, changes in assignment, limitations on research activities, fines, reduction in pay, demotion, written reprimand, suspension without pay, and termination for cause. </w:t>
      </w:r>
      <w:r w:rsidDel="00000000" w:rsidR="00000000" w:rsidRPr="00000000">
        <w:rPr>
          <w:rFonts w:ascii="Arial" w:cs="Arial" w:eastAsia="Arial" w:hAnsi="Arial"/>
          <w:b w:val="0"/>
          <w:i w:val="0"/>
          <w:smallCaps w:val="0"/>
          <w:strike w:val="0"/>
          <w:color w:val="333333"/>
          <w:sz w:val="22"/>
          <w:szCs w:val="22"/>
          <w:highlight w:val="yellow"/>
          <w:u w:val="none"/>
          <w:vertAlign w:val="baseline"/>
          <w:rtl w:val="0"/>
        </w:rPr>
        <w:t xml:space="preserve">A violation of the Florida Code of Ethics may be grounds for various penalties imposed under state la</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w. </w:t>
      </w:r>
      <w:commentRangeStart w:id="20"/>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An employee engaged in the design, conduct, or reporting of research who has failed to disclose any outside activity or financial interest and receive a determination that the outside activity or financial interest does not affect the integrity of the University, shall be suspended without pay pending the outcome of an investigation which shall not exceed 60 days and which may result in the termination of the employee. </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H.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FLORIDA CODE OF ETHICS</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commentRangeStart w:id="21"/>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In formulating the Florida Code of Ethics, the Florida legislature stated that it "is essential to the proper conduct and operation of government that public officials be independent and impartial and that public office not be used for private gain other than the remuneration provided by law." At the same time the legislature recognized that public officials and state employees should not be "denied the opportunity, available to all other citizens, to acquire and retain private economic interests except when conflicts with the responsibility of such officials to the public cannot be avoided." The Florida Code of Ethics is designed,</w:t>
      </w:r>
      <w:commentRangeEnd w:id="21"/>
      <w:r w:rsidDel="00000000" w:rsidR="00000000" w:rsidRPr="00000000">
        <w:commentReference w:id="21"/>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therefore, to "protect against any conflict of interest and establish standards for the conduct of elected officials and government employees in situations where conflicts may exist."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Florida Code of Ethics provides standards of conduct for state employees and officers, including applicable exemptions, post-employment restrictions for certain employees, and requirements concerning disclosures of financial interests.  The research and license exemption, disclosure of financial interests and post-employment restrictions are discussed below.</w:t>
      </w:r>
    </w:p>
    <w:p w:rsidR="00000000" w:rsidDel="00000000" w:rsidP="00000000" w:rsidRDefault="00000000" w:rsidRPr="00000000" w14:paraId="0000007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Arial" w:cs="Arial" w:eastAsia="Arial" w:hAnsi="Arial"/>
          <w:b w:val="0"/>
          <w:i w:val="0"/>
          <w:smallCaps w:val="0"/>
          <w:strike w:val="0"/>
          <w:color w:val="333333"/>
          <w:sz w:val="22"/>
          <w:szCs w:val="22"/>
          <w:u w:val="single"/>
          <w:shd w:fill="auto" w:val="clear"/>
        </w:rPr>
      </w:pP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Research and license agreements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Florida Code of Ethics provides an exemption which allows a faculty (or staff) member to be a consultant or be otherwise employed by a company or have an ownership interest in a company that is licensing the faculty member's technology from the university. The exemption also allows a faculty member with an employment or contractual relationship with a business entity or an ownership interest in a business entity to be involved in work on a research contract between the university and the business entity. However, such relationships are allowed only with the prior review of the faculty or staff member's department and college and the final approval of the President and Chair of the Florida Atlantic University Board of Trustees.  All exemptions are reported annually to the Florida Board of Governors.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This exemption was passed to facilitate transfer of university-developed technology to commercial enterprises by making possible license agreements and research contracts with business entities with which the faculty member-inventors have employment or other contractual relationships. Technology transfer is an important ancillary result of the university's research and educational efforts. To assure that the primary mission of the university is not compromised, however, an employee's outside activities with regard to transfer of the university's technology or university research must be disclosed and approved.</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procedures for requesting the research and license exemption are set forth in the </w:t>
      </w: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Intellectual Property Policy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Division of Research. In review of the request, the university's interests in protecting the educational progress of students, the integrity of research, the free flow of ideas, the appropriate evaluation of employees, and the use of university equipment and personnel will be examined closely. If the exemption is approved, the faculty or staff member's department and college unit must make significant commitments to the oversight process through an approved Management Plan.</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Arial" w:cs="Arial" w:eastAsia="Arial" w:hAnsi="Arial"/>
          <w:b w:val="0"/>
          <w:i w:val="0"/>
          <w:smallCaps w:val="0"/>
          <w:strike w:val="0"/>
          <w:color w:val="333333"/>
          <w:sz w:val="22"/>
          <w:szCs w:val="22"/>
          <w:u w:val="single"/>
          <w:shd w:fill="auto" w:val="clear"/>
        </w:rPr>
      </w:pP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Disclosure of Financial Interests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Certain state officers and public employees (“specified state employees”) are required to disclose certain financial interests on an annual basis. These persons are collectively also called "reporting individuals." Reporting individuals include: the University president and vice presidents, attorneys, business managers, purchasing agents (persons with signatory authority for contracts) having the power to make any purchase exceeding the Category One threshold amount (currently $20,000), finance and accounting directors, personnel officers, and grant coordinators. A list of "reporting individuals" is provided by the University to the Commission on Ethics on an annual basis. Prior to June 1 of each year, these persons are mailed a copy of Form 1, which indicates the required financial disclosures. The form must be filed with the Commission on Ethics by July 1. New employees in these positions must file within thirty days from the date of appointment. A fine may be imposed if the form is not filed in a timely manner.  Reporting individuals must also abide by restrictions on gifts and honoraria.  </w:t>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Arial" w:cs="Arial" w:eastAsia="Arial" w:hAnsi="Arial"/>
          <w:b w:val="0"/>
          <w:i w:val="0"/>
          <w:smallCaps w:val="0"/>
          <w:strike w:val="0"/>
          <w:color w:val="333333"/>
          <w:sz w:val="22"/>
          <w:szCs w:val="22"/>
          <w:u w:val="none"/>
          <w:shd w:fill="auto" w:val="clear"/>
        </w:rPr>
      </w:pP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Post-Employment Restrictions</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Certain university employees are prohibited from personally representing another person or entity for compensation before the University for a period of two years after leaving their positions (unless employed by another state agency). Employees bound by this restriction include the president, vice presidents, and deans.  Certain former employees are barred from having an employment or other contractual relationship with any business entity in connection with a contract in which the employee participated personally and substantially by recommendation or decision when he or she was a university employee. Certain former employees are also prohibited from having any employment or contractual relationship for two years with any business entity in connection with a contract for services which was within his or her responsibility while serving as a University employee.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 </w:t>
      </w:r>
      <w:r w:rsidDel="00000000" w:rsidR="00000000" w:rsidRPr="00000000">
        <w:rPr>
          <w:rFonts w:ascii="Arial" w:cs="Arial" w:eastAsia="Arial" w:hAnsi="Arial"/>
          <w:b w:val="0"/>
          <w:i w:val="0"/>
          <w:smallCaps w:val="0"/>
          <w:strike w:val="0"/>
          <w:color w:val="333333"/>
          <w:sz w:val="22"/>
          <w:szCs w:val="22"/>
          <w:u w:val="single"/>
          <w:shd w:fill="auto" w:val="clear"/>
          <w:vertAlign w:val="baseline"/>
          <w:rtl w:val="0"/>
        </w:rPr>
        <w:t xml:space="preserve">CONCLUSION</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The outside activities of Florida Atlantic University faculty and staff members </w:t>
      </w:r>
      <w:commentRangeStart w:id="22"/>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are often</w:t>
      </w:r>
      <w:commentRangeEnd w:id="22"/>
      <w:r w:rsidDel="00000000" w:rsidR="00000000" w:rsidRPr="00000000">
        <w:commentReference w:id="22"/>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of great value to the community as a whole and further the mission of the university. They also may serve important personal interests. These activities are of concern to the university when they interfere with the faculty member or staff member's obligations to the university. Indeed, all members of the Florida Atlantic University community must be concerned that the university's mission not be compromised through the outside activities and interests of its faculty and staff members. Thus, the university's policies and procedures are designed to encourage allowed activities while providing for the disclosure, review, and oversight, if needed, of activities in which conflicts might occur. The primary responsibility for compliance and for furtherance of these goals rests with the individual faculty or staff member.</w:t>
      </w:r>
      <w:r w:rsidDel="00000000" w:rsidR="00000000" w:rsidRPr="00000000">
        <w:rPr>
          <w:rtl w:val="0"/>
        </w:rPr>
      </w:r>
    </w:p>
    <w:p w:rsidR="00000000" w:rsidDel="00000000" w:rsidP="00000000" w:rsidRDefault="00000000" w:rsidRPr="00000000" w14:paraId="00000089">
      <w:pPr>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INITIATING AUTHORITIES: </w:t>
      </w:r>
      <w:r w:rsidDel="00000000" w:rsidR="00000000" w:rsidRPr="00000000">
        <w:rPr>
          <w:rFonts w:ascii="Arial" w:cs="Arial" w:eastAsia="Arial" w:hAnsi="Arial"/>
          <w:sz w:val="22"/>
          <w:szCs w:val="22"/>
          <w:vertAlign w:val="baseline"/>
          <w:rtl w:val="0"/>
        </w:rPr>
        <w:t xml:space="preserve">(1) Provost and (2) Vice President, Administrative Affairs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POLICY APPROVAL</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use by the Office of the President)</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Policy Number:  _______</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Initiating Authority  </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Signature:  ______________________________________________________________</w:t>
        <w:tab/>
        <w:t xml:space="preserve">           Date: ___________</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_________________________________________________________________</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Initiating Authority  </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Signature:  ______________________________________________________________</w:t>
        <w:tab/>
        <w:t xml:space="preserve">           Date: ___________</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_________________________________________________________________</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Policies and Procedures</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Review Committee Chair </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Signature: ______________________________________________________________</w:t>
        <w:tab/>
        <w:t xml:space="preserve">          Date: ___________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_________________________________________________________________</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President</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Signature: ______________________________________________________________</w:t>
        <w:tab/>
        <w:t xml:space="preserve">          Date: ___________</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_________________________________________________________________</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w:t>
      </w: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M" w:id="6" w:date="2020-12-04T14:23:00Z">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have already made it clear to them we do not agree to have to seek permission for outside activity. e.g., if I a faculty member gets a consulting job they cannot and should not have to wait for FAU approval.</w:t>
      </w:r>
    </w:p>
  </w:comment>
  <w:comment w:author="MM" w:id="18" w:date="2020-12-04T14:42:00Z">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Otherwise the VP of research will not review?</w:t>
      </w:r>
    </w:p>
  </w:comment>
  <w:comment w:author="MM" w:id="10" w:date="2020-12-04T14:31:00Z">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unpaid and is redundant from above!</w:t>
      </w:r>
    </w:p>
  </w:comment>
  <w:comment w:author="MM" w:id="2" w:date="2020-12-04T14:16:00Z">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please. Spare me!</w:t>
      </w:r>
    </w:p>
  </w:comment>
  <w:comment w:author="MM" w:id="7" w:date="2020-12-04T14:27:00Z">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even legal?</w:t>
      </w:r>
    </w:p>
  </w:comment>
  <w:comment w:author="MM" w:id="1" w:date="2020-12-04T14:15:00Z">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intellectual property of research publications belongs to the faculty member so I am not sure why this is here.</w:t>
      </w:r>
    </w:p>
  </w:comment>
  <w:comment w:author="MM" w:id="0" w:date="2020-12-04T14:09:00Z">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necessarily developed at the FAU. What about someone who transferred from another university and this is their first or second year at FAU.</w:t>
      </w:r>
    </w:p>
  </w:comment>
  <w:comment w:author="MM" w:id="21" w:date="2020-12-04T21:16:00Z">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This policy really stretches the meaning of what is written here. To its breaking point!</w:t>
      </w:r>
    </w:p>
  </w:comment>
  <w:comment w:author="MM" w:id="3" w:date="2020-12-04T14:17:00Z">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faculty member misses teaching a class because they were out consulting (even for free) then that should be dealt with on an individual basis. There is no need for this blanket rule unless you want everyone to violate it.</w:t>
      </w:r>
    </w:p>
  </w:comment>
  <w:comment w:author="MM" w:id="15" w:date="2020-12-04T14:39:00Z">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that will put the Kibosh on any sort of research dissemination or interviews.</w:t>
      </w:r>
    </w:p>
  </w:comment>
  <w:comment w:author="MM" w:id="19" w:date="2020-12-04T14:43:00Z">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things like conference presentations would have to be approved?</w:t>
      </w:r>
    </w:p>
  </w:comment>
  <w:comment w:author="MM" w:id="13" w:date="2020-12-04T14:34:00Z">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Apparently not!</w:t>
      </w:r>
    </w:p>
  </w:comment>
  <w:comment w:author="MM" w:id="16" w:date="2020-12-04T14:41:00Z">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Huh? In general, now they say that after all of the specific info above?</w:t>
      </w:r>
    </w:p>
  </w:comment>
  <w:comment w:author="MM" w:id="11" w:date="2020-12-04T14:32:00Z">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if we research with a colleague from another university a form must be filled out and we must have permission ahead of time?</w:t>
      </w:r>
    </w:p>
  </w:comment>
  <w:comment w:author="MM" w:id="8" w:date="2020-12-04T14:29:00Z">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is “competing” defined?</w:t>
      </w:r>
    </w:p>
  </w:comment>
  <w:comment w:author="MM" w:id="9" w:date="2020-12-04T14:30:00Z">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way!</w:t>
      </w:r>
    </w:p>
  </w:comment>
  <w:comment w:author="MM" w:id="5" w:date="2020-12-04T14:21:00Z">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now here it simply says disclosure. Above it says activities will be “permitted” (suggesting faculty must seek permission prior). Here is just says the activity must be disclosed, which by the way is consistent with the CBA</w:t>
      </w:r>
    </w:p>
  </w:comment>
  <w:comment w:author="MM" w:id="17" w:date="2020-12-04T14:41:00Z">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only and after the fact is fine.</w:t>
      </w:r>
    </w:p>
  </w:comment>
  <w:comment w:author="MM" w:id="22" w:date="2020-12-04T21:18:00Z">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 nice!</w:t>
      </w:r>
    </w:p>
  </w:comment>
  <w:comment w:author="MM" w:id="14" w:date="2020-12-04T14:36:00Z">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that is funny!!!</w:t>
      </w:r>
    </w:p>
  </w:comment>
  <w:comment w:author="MM" w:id="4" w:date="2020-12-04T14:19:00Z">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agree to report, but we do not agree to ask permission from the university.</w:t>
      </w:r>
    </w:p>
  </w:comment>
  <w:comment w:author="MM" w:id="12" w:date="2020-12-04T14:33:00Z">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According to who?</w:t>
      </w:r>
    </w:p>
  </w:comment>
  <w:comment w:author="MM" w:id="20" w:date="2020-12-04T21:15:00Z">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to me, this would need to be bargained in the CBA?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font w:name="Times New Roman"/>
  <w:font w:name="Garamo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981200"/>
              <wp:wrapNone/>
              <wp:docPr id="1" name=""/>
              <a:graphic>
                <a:graphicData uri="http://schemas.microsoft.com/office/word/2010/wordprocessingShape">
                  <wps:wsp>
                    <wps:cNvSpPr/>
                    <wps:spPr>
                      <a:xfrm>
                        <a:off x="0" y="0"/>
                        <a:ext cx="5943600" cy="1981200"/>
                      </a:xfrm>
                      <a:prstGeom prst="rect"/>
                      <a:solidFill>
                        <a:srgbClr val="C0C0C0"/>
                      </a:solidFill>
                      <a:ln cap="flat" cmpd="sng" w="9525" algn="ctr">
                        <a:noFill/>
                        <a:miter lim="800000"/>
                        <a:headEnd/>
                        <a:tailEnd/>
                      </a:ln>
                    </wps:spPr>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9812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9812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981200"/>
              <wp:wrapNone/>
              <wp:docPr id="2" name=""/>
              <a:graphic>
                <a:graphicData uri="http://schemas.microsoft.com/office/word/2010/wordprocessingShape">
                  <wps:wsp>
                    <wps:cNvSpPr/>
                    <wps:spPr>
                      <a:xfrm>
                        <a:off x="0" y="0"/>
                        <a:ext cx="5943600" cy="1981200"/>
                      </a:xfrm>
                      <a:prstGeom prst="rect"/>
                      <a:solidFill>
                        <a:srgbClr val="C0C0C0"/>
                      </a:solidFill>
                      <a:ln cap="flat" cmpd="sng" w="9525" algn="ctr">
                        <a:noFill/>
                        <a:miter lim="800000"/>
                        <a:headEnd/>
                        <a:tailEnd/>
                      </a:ln>
                    </wps:spPr>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9812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19812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981200"/>
              <wp:wrapNone/>
              <wp:docPr id="3" name=""/>
              <a:graphic>
                <a:graphicData uri="http://schemas.microsoft.com/office/word/2010/wordprocessingShape">
                  <wps:wsp>
                    <wps:cNvSpPr/>
                    <wps:spPr>
                      <a:xfrm>
                        <a:off x="0" y="0"/>
                        <a:ext cx="5943600" cy="1981200"/>
                      </a:xfrm>
                      <a:prstGeom prst="rect"/>
                      <a:solidFill>
                        <a:srgbClr val="C0C0C0"/>
                      </a:solidFill>
                      <a:ln cap="flat" cmpd="sng" w="9525" algn="ctr">
                        <a:noFill/>
                        <a:miter lim="800000"/>
                        <a:headEnd/>
                        <a:tailEnd/>
                      </a:ln>
                    </wps:spPr>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198120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943600" cy="19812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6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vertAlign w:val="baseline"/>
    </w:rPr>
  </w:style>
  <w:style w:type="paragraph" w:styleId="Heading2">
    <w:name w:val="heading 2"/>
    <w:basedOn w:val="Normal"/>
    <w:next w:val="Normal"/>
    <w:pPr>
      <w:keepNext w:val="1"/>
      <w:widowControl w:val="0"/>
    </w:pPr>
    <w:rPr>
      <w:b w:val="1"/>
      <w:sz w:val="18"/>
      <w:szCs w:val="1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widowControl w:val="0"/>
      <w:jc w:val="center"/>
    </w:pPr>
    <w:rPr>
      <w:b w:val="1"/>
      <w:sz w:val="20"/>
      <w:szCs w:val="20"/>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www.fau.edu/regulations/chapter5/5.011_University_Ethics.pdf" TargetMode="External"/><Relationship Id="rId10" Type="http://schemas.openxmlformats.org/officeDocument/2006/relationships/hyperlink" Target="http://www.fau.edu/research/docs/policies/research-integrity/FAU%20FCOI%20Workflow%20Chart.pdf" TargetMode="External"/><Relationship Id="rId13" Type="http://schemas.openxmlformats.org/officeDocument/2006/relationships/hyperlink" Target="https://www.fau.edu/provost/resources/files/MEMO-on-Procedures-for-Selecting-Textbooks-for-Affordability-41918.pdf" TargetMode="External"/><Relationship Id="rId12" Type="http://schemas.openxmlformats.org/officeDocument/2006/relationships/hyperlink" Target="http://www.fau.edu/regulations/chapter3/Reg%203.004_4.21.2020.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fau.edu/research/docs/policies/research-integrity/OFFICIAL_signed_FCOI%20Policy-Revision-investigators.pdf" TargetMode="External"/><Relationship Id="rId15" Type="http://schemas.openxmlformats.org/officeDocument/2006/relationships/header" Target="header3.xml"/><Relationship Id="rId14" Type="http://schemas.openxmlformats.org/officeDocument/2006/relationships/hyperlink" Target="https://www.fau.edu/research/docs/policies/technology-development/fau-intellectual-property-policy-7.1.2020.pdf"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