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A4E7B" w14:textId="7C49A393" w:rsidR="00273D8C" w:rsidRPr="00C15538" w:rsidRDefault="0044109D" w:rsidP="00822867">
      <w:pPr>
        <w:jc w:val="center"/>
        <w:rPr>
          <w:rFonts w:ascii="Palatino Linotype" w:hAnsi="Palatino Linotype"/>
          <w:b/>
          <w:bCs/>
          <w:color w:val="201F1E"/>
          <w:sz w:val="28"/>
          <w:szCs w:val="28"/>
          <w:shd w:val="clear" w:color="auto" w:fill="FFFFFF"/>
        </w:rPr>
      </w:pPr>
      <w:r w:rsidRPr="00C15538">
        <w:rPr>
          <w:rFonts w:ascii="Palatino Linotype" w:hAnsi="Palatino Linotype"/>
          <w:b/>
          <w:bCs/>
          <w:color w:val="201F1E"/>
          <w:sz w:val="28"/>
          <w:szCs w:val="28"/>
          <w:shd w:val="clear" w:color="auto" w:fill="FFFFFF"/>
        </w:rPr>
        <w:t xml:space="preserve">Multiple Academic </w:t>
      </w:r>
      <w:r w:rsidR="00895846" w:rsidRPr="00C15538">
        <w:rPr>
          <w:rFonts w:ascii="Palatino Linotype" w:hAnsi="Palatino Linotype"/>
          <w:b/>
          <w:bCs/>
          <w:color w:val="201F1E"/>
          <w:sz w:val="28"/>
          <w:szCs w:val="28"/>
          <w:shd w:val="clear" w:color="auto" w:fill="FFFFFF"/>
        </w:rPr>
        <w:t>Credentials for</w:t>
      </w:r>
      <w:r w:rsidR="00387D6B" w:rsidRPr="00C15538">
        <w:rPr>
          <w:rFonts w:ascii="Palatino Linotype" w:hAnsi="Palatino Linotype"/>
          <w:b/>
          <w:bCs/>
          <w:color w:val="201F1E"/>
          <w:sz w:val="28"/>
          <w:szCs w:val="28"/>
          <w:shd w:val="clear" w:color="auto" w:fill="FFFFFF"/>
        </w:rPr>
        <w:t xml:space="preserve"> Workforce </w:t>
      </w:r>
      <w:r w:rsidR="00D07553" w:rsidRPr="00C15538">
        <w:rPr>
          <w:rFonts w:ascii="Palatino Linotype" w:hAnsi="Palatino Linotype"/>
          <w:b/>
          <w:bCs/>
          <w:color w:val="201F1E"/>
          <w:sz w:val="28"/>
          <w:szCs w:val="28"/>
          <w:shd w:val="clear" w:color="auto" w:fill="FFFFFF"/>
        </w:rPr>
        <w:t>Competencies</w:t>
      </w:r>
    </w:p>
    <w:p w14:paraId="729D24ED" w14:textId="77777777" w:rsidR="00331919" w:rsidRPr="000B3E88" w:rsidRDefault="00582033" w:rsidP="00243CC4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 w:val="0"/>
          <w:bCs w:val="0"/>
          <w:sz w:val="22"/>
          <w:szCs w:val="22"/>
        </w:rPr>
      </w:pPr>
      <w:r w:rsidRPr="000B3E88">
        <w:rPr>
          <w:rFonts w:ascii="Palatino Linotype" w:hAnsi="Palatino Linotype"/>
          <w:sz w:val="22"/>
          <w:szCs w:val="22"/>
        </w:rPr>
        <w:t>Focus</w:t>
      </w:r>
      <w:r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: </w:t>
      </w:r>
      <w:r w:rsidR="00331919" w:rsidRPr="00C15538">
        <w:rPr>
          <w:rFonts w:ascii="Palatino Linotype" w:hAnsi="Palatino Linotype"/>
          <w:b w:val="0"/>
          <w:bCs w:val="0"/>
          <w:i/>
          <w:iCs/>
          <w:sz w:val="22"/>
          <w:szCs w:val="22"/>
        </w:rPr>
        <w:t>Career readiness across and beyond the curriculum</w:t>
      </w:r>
    </w:p>
    <w:p w14:paraId="0CA46F61" w14:textId="77777777" w:rsidR="00331919" w:rsidRPr="00951585" w:rsidRDefault="00331919" w:rsidP="000A2344">
      <w:pPr>
        <w:pStyle w:val="Heading3"/>
        <w:shd w:val="clear" w:color="auto" w:fill="FFFFFF"/>
        <w:spacing w:before="0" w:beforeAutospacing="0" w:after="0" w:afterAutospacing="0"/>
        <w:rPr>
          <w:rFonts w:ascii="Palatino Linotype" w:hAnsi="Palatino Linotype"/>
          <w:b w:val="0"/>
          <w:bCs w:val="0"/>
          <w:sz w:val="16"/>
          <w:szCs w:val="16"/>
        </w:rPr>
      </w:pPr>
    </w:p>
    <w:p w14:paraId="6B2F8D79" w14:textId="25D22B89" w:rsidR="00CA5287" w:rsidRPr="00951585" w:rsidRDefault="00CA5287" w:rsidP="00CA5287">
      <w:pPr>
        <w:rPr>
          <w:rFonts w:ascii="Palatino Linotype" w:hAnsi="Palatino Linotype"/>
          <w:sz w:val="22"/>
          <w:szCs w:val="22"/>
        </w:rPr>
      </w:pPr>
      <w:r w:rsidRPr="00951585">
        <w:rPr>
          <w:rFonts w:ascii="Palatino Linotype" w:hAnsi="Palatino Linotype"/>
          <w:sz w:val="22"/>
          <w:szCs w:val="22"/>
        </w:rPr>
        <w:t>T</w:t>
      </w:r>
      <w:r w:rsidR="00951585" w:rsidRPr="00951585">
        <w:rPr>
          <w:rFonts w:ascii="Palatino Linotype" w:hAnsi="Palatino Linotype"/>
          <w:sz w:val="22"/>
          <w:szCs w:val="22"/>
        </w:rPr>
        <w:t>o understand the underlying factors responsible for producing graduates capable of thriving in the workforce, t</w:t>
      </w:r>
      <w:r w:rsidRPr="00951585">
        <w:rPr>
          <w:rFonts w:ascii="Palatino Linotype" w:hAnsi="Palatino Linotype"/>
          <w:sz w:val="22"/>
          <w:szCs w:val="22"/>
        </w:rPr>
        <w:t xml:space="preserve">he </w:t>
      </w:r>
      <w:r w:rsidR="00951585" w:rsidRPr="00951585">
        <w:rPr>
          <w:rFonts w:ascii="Palatino Linotype" w:hAnsi="Palatino Linotype"/>
          <w:sz w:val="22"/>
          <w:szCs w:val="22"/>
        </w:rPr>
        <w:t xml:space="preserve">2016 </w:t>
      </w:r>
      <w:r w:rsidRPr="00951585">
        <w:rPr>
          <w:rFonts w:ascii="Palatino Linotype" w:hAnsi="Palatino Linotype"/>
          <w:sz w:val="22"/>
          <w:szCs w:val="22"/>
        </w:rPr>
        <w:t>Gallup-Purdue Index</w:t>
      </w:r>
      <w:r w:rsidR="00505019">
        <w:rPr>
          <w:rStyle w:val="FootnoteReference"/>
          <w:rFonts w:ascii="Palatino Linotype" w:hAnsi="Palatino Linotype"/>
          <w:sz w:val="22"/>
          <w:szCs w:val="22"/>
        </w:rPr>
        <w:footnoteReference w:id="1"/>
      </w:r>
      <w:r w:rsidRPr="00951585">
        <w:rPr>
          <w:rFonts w:ascii="Palatino Linotype" w:hAnsi="Palatino Linotype"/>
          <w:sz w:val="22"/>
          <w:szCs w:val="22"/>
        </w:rPr>
        <w:t xml:space="preserve"> </w:t>
      </w:r>
      <w:r w:rsidR="00951585" w:rsidRPr="00951585">
        <w:rPr>
          <w:rFonts w:ascii="Palatino Linotype" w:hAnsi="Palatino Linotype"/>
          <w:sz w:val="22"/>
          <w:szCs w:val="22"/>
        </w:rPr>
        <w:t>conducted a series of survey</w:t>
      </w:r>
      <w:r w:rsidR="00B0697E">
        <w:rPr>
          <w:rFonts w:ascii="Palatino Linotype" w:hAnsi="Palatino Linotype"/>
          <w:sz w:val="22"/>
          <w:szCs w:val="22"/>
        </w:rPr>
        <w:t>s</w:t>
      </w:r>
      <w:r w:rsidR="00951585" w:rsidRPr="00951585">
        <w:rPr>
          <w:rFonts w:ascii="Palatino Linotype" w:hAnsi="Palatino Linotype"/>
          <w:sz w:val="22"/>
          <w:szCs w:val="22"/>
        </w:rPr>
        <w:t xml:space="preserve"> and </w:t>
      </w:r>
      <w:r w:rsidRPr="00951585">
        <w:rPr>
          <w:rFonts w:ascii="Palatino Linotype" w:hAnsi="Palatino Linotype"/>
          <w:sz w:val="22"/>
          <w:szCs w:val="22"/>
        </w:rPr>
        <w:t xml:space="preserve">showed </w:t>
      </w:r>
      <w:r w:rsidR="00951585" w:rsidRPr="00951585">
        <w:rPr>
          <w:rFonts w:ascii="Palatino Linotype" w:hAnsi="Palatino Linotype"/>
          <w:sz w:val="22"/>
          <w:szCs w:val="22"/>
        </w:rPr>
        <w:t>that graduates</w:t>
      </w:r>
      <w:r w:rsidRPr="00951585">
        <w:rPr>
          <w:rFonts w:ascii="Palatino Linotype" w:hAnsi="Palatino Linotype"/>
          <w:sz w:val="22"/>
          <w:szCs w:val="22"/>
        </w:rPr>
        <w:t xml:space="preserve"> who worked on long-term projects that took a semester or more to complete and those who had a job or internship where they could apply what they learned in the classroom double</w:t>
      </w:r>
      <w:r w:rsidR="00B0697E">
        <w:rPr>
          <w:rFonts w:ascii="Palatino Linotype" w:hAnsi="Palatino Linotype"/>
          <w:sz w:val="22"/>
          <w:szCs w:val="22"/>
        </w:rPr>
        <w:t>d</w:t>
      </w:r>
      <w:r w:rsidRPr="00951585">
        <w:rPr>
          <w:rFonts w:ascii="Palatino Linotype" w:hAnsi="Palatino Linotype"/>
          <w:sz w:val="22"/>
          <w:szCs w:val="22"/>
        </w:rPr>
        <w:t xml:space="preserve"> their odds of </w:t>
      </w:r>
      <w:r w:rsidR="00951585" w:rsidRPr="00951585">
        <w:rPr>
          <w:rFonts w:ascii="Palatino Linotype" w:hAnsi="Palatino Linotype"/>
          <w:sz w:val="22"/>
          <w:szCs w:val="22"/>
        </w:rPr>
        <w:t>success</w:t>
      </w:r>
      <w:r w:rsidRPr="00951585">
        <w:rPr>
          <w:rFonts w:ascii="Palatino Linotype" w:hAnsi="Palatino Linotype"/>
          <w:sz w:val="22"/>
          <w:szCs w:val="22"/>
        </w:rPr>
        <w:t xml:space="preserve"> in their work later in life. Also important were graduates who rated career services as “very helpful” </w:t>
      </w:r>
      <w:r w:rsidR="00B0697E">
        <w:rPr>
          <w:rFonts w:ascii="Palatino Linotype" w:hAnsi="Palatino Linotype"/>
          <w:sz w:val="22"/>
          <w:szCs w:val="22"/>
        </w:rPr>
        <w:t>we</w:t>
      </w:r>
      <w:r w:rsidRPr="00951585">
        <w:rPr>
          <w:rFonts w:ascii="Palatino Linotype" w:hAnsi="Palatino Linotype"/>
          <w:sz w:val="22"/>
          <w:szCs w:val="22"/>
        </w:rPr>
        <w:t xml:space="preserve">re </w:t>
      </w:r>
      <w:r w:rsidR="00951585" w:rsidRPr="00951585">
        <w:rPr>
          <w:rFonts w:ascii="Palatino Linotype" w:hAnsi="Palatino Linotype"/>
          <w:sz w:val="22"/>
          <w:szCs w:val="22"/>
        </w:rPr>
        <w:t>nearly 3 times</w:t>
      </w:r>
      <w:r w:rsidRPr="00951585">
        <w:rPr>
          <w:rFonts w:ascii="Palatino Linotype" w:hAnsi="Palatino Linotype"/>
          <w:sz w:val="22"/>
          <w:szCs w:val="22"/>
        </w:rPr>
        <w:t xml:space="preserve"> more likely to strongly agree their education was worth the cost and more likely to recommend their alma mater. </w:t>
      </w:r>
    </w:p>
    <w:p w14:paraId="0989D4E8" w14:textId="77777777" w:rsidR="00CA5287" w:rsidRPr="00951585" w:rsidRDefault="00CA5287" w:rsidP="000A2344">
      <w:pPr>
        <w:pStyle w:val="Heading3"/>
        <w:shd w:val="clear" w:color="auto" w:fill="FFFFFF"/>
        <w:spacing w:before="0" w:beforeAutospacing="0" w:after="0" w:afterAutospacing="0"/>
        <w:rPr>
          <w:rFonts w:ascii="Palatino Linotype" w:hAnsi="Palatino Linotype"/>
          <w:b w:val="0"/>
          <w:bCs w:val="0"/>
          <w:sz w:val="16"/>
          <w:szCs w:val="16"/>
        </w:rPr>
      </w:pPr>
    </w:p>
    <w:p w14:paraId="17CE3D52" w14:textId="07F43F28" w:rsidR="000A2344" w:rsidRPr="00B0697E" w:rsidRDefault="00CA5287" w:rsidP="000A2344">
      <w:pPr>
        <w:pStyle w:val="Heading3"/>
        <w:shd w:val="clear" w:color="auto" w:fill="FFFFFF"/>
        <w:spacing w:before="0" w:beforeAutospacing="0" w:after="0" w:afterAutospacing="0"/>
        <w:rPr>
          <w:rFonts w:ascii="Palatino Linotype" w:eastAsiaTheme="minorHAnsi" w:hAnsi="Palatino Linotype" w:cstheme="minorBidi"/>
          <w:b w:val="0"/>
          <w:bCs w:val="0"/>
          <w:color w:val="000000" w:themeColor="text1"/>
          <w:sz w:val="22"/>
          <w:szCs w:val="22"/>
        </w:rPr>
      </w:pPr>
      <w:r w:rsidRPr="00951585">
        <w:rPr>
          <w:rFonts w:ascii="Palatino Linotype" w:hAnsi="Palatino Linotype"/>
          <w:b w:val="0"/>
          <w:bCs w:val="0"/>
          <w:sz w:val="22"/>
          <w:szCs w:val="22"/>
        </w:rPr>
        <w:t xml:space="preserve">Additionally, a </w:t>
      </w:r>
      <w:r w:rsidR="008A30EA" w:rsidRPr="00951585">
        <w:rPr>
          <w:rFonts w:ascii="Palatino Linotype" w:hAnsi="Palatino Linotype"/>
          <w:b w:val="0"/>
          <w:bCs w:val="0"/>
          <w:sz w:val="22"/>
          <w:szCs w:val="22"/>
        </w:rPr>
        <w:t xml:space="preserve">current survey found that only 11% of business leaders and 14% of the </w:t>
      </w:r>
      <w:r w:rsidR="00557925" w:rsidRPr="00951585">
        <w:rPr>
          <w:rFonts w:ascii="Palatino Linotype" w:hAnsi="Palatino Linotype"/>
          <w:b w:val="0"/>
          <w:bCs w:val="0"/>
          <w:sz w:val="22"/>
          <w:szCs w:val="22"/>
        </w:rPr>
        <w:t>public</w:t>
      </w:r>
      <w:r w:rsidR="008A30EA" w:rsidRPr="00951585">
        <w:rPr>
          <w:rFonts w:ascii="Palatino Linotype" w:hAnsi="Palatino Linotype"/>
          <w:b w:val="0"/>
          <w:bCs w:val="0"/>
          <w:sz w:val="22"/>
          <w:szCs w:val="22"/>
        </w:rPr>
        <w:t xml:space="preserve"> felt </w:t>
      </w:r>
      <w:r w:rsidR="008A30EA"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strongly that </w:t>
      </w:r>
      <w:r w:rsidR="00951585">
        <w:rPr>
          <w:rFonts w:ascii="Palatino Linotype" w:hAnsi="Palatino Linotype"/>
          <w:b w:val="0"/>
          <w:bCs w:val="0"/>
          <w:sz w:val="22"/>
          <w:szCs w:val="22"/>
        </w:rPr>
        <w:t>university</w:t>
      </w:r>
      <w:r w:rsidR="00734F48"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 graduates leave</w:t>
      </w:r>
      <w:r w:rsidR="008A30EA"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 with the skills needed for </w:t>
      </w:r>
      <w:r w:rsidR="00EB7691"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workplace </w:t>
      </w:r>
      <w:r w:rsidR="008A30EA" w:rsidRPr="000B3E88">
        <w:rPr>
          <w:rFonts w:ascii="Palatino Linotype" w:hAnsi="Palatino Linotype"/>
          <w:b w:val="0"/>
          <w:bCs w:val="0"/>
          <w:sz w:val="22"/>
          <w:szCs w:val="22"/>
        </w:rPr>
        <w:t>success</w:t>
      </w:r>
      <w:r w:rsidR="0081418D" w:rsidRPr="000B3E88">
        <w:rPr>
          <w:rStyle w:val="FootnoteReference"/>
          <w:rFonts w:ascii="Palatino Linotype" w:hAnsi="Palatino Linotype"/>
          <w:b w:val="0"/>
          <w:bCs w:val="0"/>
          <w:sz w:val="22"/>
          <w:szCs w:val="22"/>
        </w:rPr>
        <w:footnoteReference w:id="2"/>
      </w:r>
      <w:r w:rsidR="00D6248C" w:rsidRPr="000B3E88">
        <w:rPr>
          <w:rFonts w:ascii="Palatino Linotype" w:hAnsi="Palatino Linotype"/>
          <w:b w:val="0"/>
          <w:bCs w:val="0"/>
          <w:sz w:val="22"/>
          <w:szCs w:val="22"/>
          <w:vertAlign w:val="superscript"/>
        </w:rPr>
        <w:t>,</w:t>
      </w:r>
      <w:r w:rsidR="002178D6" w:rsidRPr="000B3E88">
        <w:rPr>
          <w:rStyle w:val="FootnoteReference"/>
          <w:rFonts w:ascii="Palatino Linotype" w:hAnsi="Palatino Linotype"/>
          <w:b w:val="0"/>
          <w:bCs w:val="0"/>
          <w:sz w:val="22"/>
          <w:szCs w:val="22"/>
        </w:rPr>
        <w:footnoteReference w:id="3"/>
      </w:r>
      <w:r w:rsidR="00D6248C" w:rsidRPr="000B3E88">
        <w:rPr>
          <w:rFonts w:ascii="Palatino Linotype" w:hAnsi="Palatino Linotype"/>
          <w:b w:val="0"/>
          <w:bCs w:val="0"/>
          <w:sz w:val="22"/>
          <w:szCs w:val="22"/>
          <w:vertAlign w:val="superscript"/>
        </w:rPr>
        <w:t>,</w:t>
      </w:r>
      <w:r w:rsidR="00D6248C" w:rsidRPr="000B3E88">
        <w:rPr>
          <w:rStyle w:val="FootnoteReference"/>
          <w:rFonts w:ascii="Palatino Linotype" w:hAnsi="Palatino Linotype"/>
          <w:b w:val="0"/>
          <w:bCs w:val="0"/>
          <w:sz w:val="22"/>
          <w:szCs w:val="22"/>
        </w:rPr>
        <w:footnoteReference w:id="4"/>
      </w:r>
      <w:r w:rsidR="00D6248C" w:rsidRPr="000B3E88">
        <w:rPr>
          <w:rFonts w:ascii="Palatino Linotype" w:hAnsi="Palatino Linotype"/>
          <w:b w:val="0"/>
          <w:bCs w:val="0"/>
          <w:sz w:val="22"/>
          <w:szCs w:val="22"/>
        </w:rPr>
        <w:t>.</w:t>
      </w:r>
      <w:r w:rsidR="008A30EA"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 </w:t>
      </w:r>
      <w:r w:rsidR="00680398"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The purpose of this proposal is to provide a means to integrate </w:t>
      </w:r>
      <w:r w:rsidR="009B0099" w:rsidRPr="000B3E88">
        <w:rPr>
          <w:rFonts w:ascii="Palatino Linotype" w:hAnsi="Palatino Linotype"/>
          <w:b w:val="0"/>
          <w:bCs w:val="0"/>
          <w:sz w:val="22"/>
          <w:szCs w:val="22"/>
        </w:rPr>
        <w:t>workforce preparedness</w:t>
      </w:r>
      <w:r w:rsidR="00680398"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 skills with core skills</w:t>
      </w:r>
      <w:r w:rsidR="009B0099"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 in the various degree programs</w:t>
      </w:r>
      <w:r w:rsidR="004724E6"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 offered at FAU</w:t>
      </w:r>
      <w:r w:rsidR="001F678B"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 including </w:t>
      </w:r>
      <w:r w:rsidR="001A592E"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Bachelor of </w:t>
      </w:r>
      <w:r w:rsidR="00B0697E">
        <w:rPr>
          <w:rFonts w:ascii="Palatino Linotype" w:hAnsi="Palatino Linotype"/>
          <w:b w:val="0"/>
          <w:bCs w:val="0"/>
          <w:sz w:val="22"/>
          <w:szCs w:val="22"/>
        </w:rPr>
        <w:t>G</w:t>
      </w:r>
      <w:r w:rsidR="001A592E"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eneral </w:t>
      </w:r>
      <w:r w:rsidR="00B0697E">
        <w:rPr>
          <w:rFonts w:ascii="Palatino Linotype" w:hAnsi="Palatino Linotype"/>
          <w:b w:val="0"/>
          <w:bCs w:val="0"/>
          <w:sz w:val="22"/>
          <w:szCs w:val="22"/>
        </w:rPr>
        <w:t>S</w:t>
      </w:r>
      <w:r w:rsidR="001A592E"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tudies and </w:t>
      </w:r>
      <w:r w:rsidR="001F678B" w:rsidRPr="000B3E88">
        <w:rPr>
          <w:rFonts w:ascii="Palatino Linotype" w:hAnsi="Palatino Linotype"/>
          <w:b w:val="0"/>
          <w:bCs w:val="0"/>
          <w:sz w:val="22"/>
          <w:szCs w:val="22"/>
        </w:rPr>
        <w:t xml:space="preserve">non-degree </w:t>
      </w:r>
      <w:r w:rsidR="001F678B" w:rsidRPr="00B0697E">
        <w:rPr>
          <w:rFonts w:ascii="Palatino Linotype" w:hAnsi="Palatino Linotype"/>
          <w:b w:val="0"/>
          <w:bCs w:val="0"/>
          <w:sz w:val="22"/>
          <w:szCs w:val="22"/>
        </w:rPr>
        <w:t xml:space="preserve">students seeking to accumulate </w:t>
      </w:r>
      <w:r w:rsidR="001A592E" w:rsidRPr="00B0697E">
        <w:rPr>
          <w:rFonts w:ascii="Palatino Linotype" w:hAnsi="Palatino Linotype"/>
          <w:b w:val="0"/>
          <w:bCs w:val="0"/>
          <w:sz w:val="22"/>
          <w:szCs w:val="22"/>
        </w:rPr>
        <w:t xml:space="preserve">certificates and other </w:t>
      </w:r>
      <w:r w:rsidR="00C223FB">
        <w:rPr>
          <w:rFonts w:ascii="Palatino Linotype" w:hAnsi="Palatino Linotype"/>
          <w:b w:val="0"/>
          <w:bCs w:val="0"/>
          <w:sz w:val="22"/>
          <w:szCs w:val="22"/>
        </w:rPr>
        <w:t xml:space="preserve">academic </w:t>
      </w:r>
      <w:r w:rsidR="001A592E" w:rsidRPr="00B0697E">
        <w:rPr>
          <w:rFonts w:ascii="Palatino Linotype" w:hAnsi="Palatino Linotype"/>
          <w:b w:val="0"/>
          <w:bCs w:val="0"/>
          <w:sz w:val="22"/>
          <w:szCs w:val="22"/>
        </w:rPr>
        <w:t>credentials</w:t>
      </w:r>
      <w:r w:rsidR="00680398" w:rsidRPr="00B0697E">
        <w:rPr>
          <w:rFonts w:ascii="Palatino Linotype" w:hAnsi="Palatino Linotype"/>
          <w:b w:val="0"/>
          <w:bCs w:val="0"/>
          <w:sz w:val="22"/>
          <w:szCs w:val="22"/>
        </w:rPr>
        <w:t xml:space="preserve">. </w:t>
      </w:r>
      <w:r w:rsidR="00C223FB">
        <w:rPr>
          <w:rFonts w:ascii="Palatino Linotype" w:hAnsi="Palatino Linotype"/>
          <w:b w:val="0"/>
          <w:bCs w:val="0"/>
          <w:sz w:val="22"/>
          <w:szCs w:val="22"/>
        </w:rPr>
        <w:t>The key</w:t>
      </w:r>
      <w:r w:rsidR="009B0099" w:rsidRPr="00B0697E">
        <w:rPr>
          <w:rFonts w:ascii="Palatino Linotype" w:hAnsi="Palatino Linotype"/>
          <w:b w:val="0"/>
          <w:bCs w:val="0"/>
          <w:sz w:val="22"/>
          <w:szCs w:val="22"/>
        </w:rPr>
        <w:t xml:space="preserve"> </w:t>
      </w:r>
      <w:r w:rsidR="00B2221B" w:rsidRPr="00B0697E">
        <w:rPr>
          <w:rFonts w:ascii="Palatino Linotype" w:hAnsi="Palatino Linotype"/>
          <w:b w:val="0"/>
          <w:bCs w:val="0"/>
          <w:sz w:val="22"/>
          <w:szCs w:val="22"/>
        </w:rPr>
        <w:t>21</w:t>
      </w:r>
      <w:r w:rsidR="00B2221B" w:rsidRPr="00B0697E">
        <w:rPr>
          <w:rFonts w:ascii="Palatino Linotype" w:hAnsi="Palatino Linotype"/>
          <w:b w:val="0"/>
          <w:bCs w:val="0"/>
          <w:sz w:val="22"/>
          <w:szCs w:val="22"/>
          <w:vertAlign w:val="superscript"/>
        </w:rPr>
        <w:t>st</w:t>
      </w:r>
      <w:r w:rsidR="00B2221B" w:rsidRPr="00B0697E">
        <w:rPr>
          <w:rFonts w:ascii="Palatino Linotype" w:hAnsi="Palatino Linotype"/>
          <w:b w:val="0"/>
          <w:bCs w:val="0"/>
          <w:sz w:val="22"/>
          <w:szCs w:val="22"/>
        </w:rPr>
        <w:t xml:space="preserve"> century</w:t>
      </w:r>
      <w:r w:rsidR="00680398" w:rsidRPr="00B0697E">
        <w:rPr>
          <w:rFonts w:ascii="Palatino Linotype" w:hAnsi="Palatino Linotype"/>
          <w:b w:val="0"/>
          <w:bCs w:val="0"/>
          <w:sz w:val="22"/>
          <w:szCs w:val="22"/>
        </w:rPr>
        <w:t xml:space="preserve"> skills </w:t>
      </w:r>
      <w:r w:rsidR="00B0697E" w:rsidRPr="00B0697E">
        <w:rPr>
          <w:rFonts w:ascii="Palatino Linotype" w:hAnsi="Palatino Linotype"/>
          <w:b w:val="0"/>
          <w:bCs w:val="0"/>
          <w:sz w:val="22"/>
          <w:szCs w:val="22"/>
        </w:rPr>
        <w:t>are identified by the</w:t>
      </w:r>
      <w:r w:rsidR="00B76CE9" w:rsidRPr="00B0697E">
        <w:rPr>
          <w:rFonts w:ascii="Palatino Linotype" w:hAnsi="Palatino Linotype"/>
          <w:b w:val="0"/>
          <w:bCs w:val="0"/>
          <w:sz w:val="22"/>
          <w:szCs w:val="22"/>
        </w:rPr>
        <w:t xml:space="preserve"> </w:t>
      </w:r>
      <w:r w:rsidR="00180069" w:rsidRPr="00B0697E">
        <w:rPr>
          <w:rFonts w:ascii="Palatino Linotype" w:eastAsiaTheme="minorHAnsi" w:hAnsi="Palatino Linotype" w:cstheme="minorBidi"/>
          <w:b w:val="0"/>
          <w:bCs w:val="0"/>
          <w:color w:val="000000" w:themeColor="text1"/>
          <w:sz w:val="22"/>
          <w:szCs w:val="22"/>
        </w:rPr>
        <w:t xml:space="preserve">National Association of Colleges and Employers (NACE) </w:t>
      </w:r>
      <w:r w:rsidR="00B0697E" w:rsidRPr="00B0697E">
        <w:rPr>
          <w:rFonts w:ascii="Palatino Linotype" w:eastAsiaTheme="minorHAnsi" w:hAnsi="Palatino Linotype" w:cstheme="minorBidi"/>
          <w:b w:val="0"/>
          <w:bCs w:val="0"/>
          <w:color w:val="000000" w:themeColor="text1"/>
          <w:sz w:val="22"/>
          <w:szCs w:val="22"/>
        </w:rPr>
        <w:t xml:space="preserve">as the </w:t>
      </w:r>
      <w:r w:rsidR="00180069" w:rsidRPr="00B0697E">
        <w:rPr>
          <w:rFonts w:ascii="Palatino Linotype" w:eastAsiaTheme="minorHAnsi" w:hAnsi="Palatino Linotype" w:cstheme="minorBidi"/>
          <w:b w:val="0"/>
          <w:bCs w:val="0"/>
          <w:color w:val="000000" w:themeColor="text1"/>
          <w:sz w:val="22"/>
          <w:szCs w:val="22"/>
        </w:rPr>
        <w:t>career readiness competencies</w:t>
      </w:r>
      <w:r w:rsidR="000B3E88" w:rsidRPr="00B0697E">
        <w:rPr>
          <w:rStyle w:val="FootnoteReference"/>
          <w:rFonts w:ascii="Palatino Linotype" w:eastAsiaTheme="minorHAnsi" w:hAnsi="Palatino Linotype" w:cstheme="minorBidi"/>
          <w:b w:val="0"/>
          <w:bCs w:val="0"/>
          <w:color w:val="000000" w:themeColor="text1"/>
          <w:sz w:val="22"/>
          <w:szCs w:val="22"/>
        </w:rPr>
        <w:footnoteReference w:id="5"/>
      </w:r>
      <w:r w:rsidR="00180069" w:rsidRPr="00B0697E">
        <w:rPr>
          <w:rFonts w:ascii="Palatino Linotype" w:eastAsiaTheme="minorHAnsi" w:hAnsi="Palatino Linotype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="00C223FB">
        <w:rPr>
          <w:rFonts w:ascii="Palatino Linotype" w:eastAsiaTheme="minorHAnsi" w:hAnsi="Palatino Linotype" w:cstheme="minorBidi"/>
          <w:b w:val="0"/>
          <w:bCs w:val="0"/>
          <w:color w:val="000000" w:themeColor="text1"/>
          <w:sz w:val="22"/>
          <w:szCs w:val="22"/>
        </w:rPr>
        <w:t>sought by employers</w:t>
      </w:r>
      <w:r w:rsidR="000A2344" w:rsidRPr="00B0697E">
        <w:rPr>
          <w:rFonts w:ascii="Palatino Linotype" w:eastAsiaTheme="minorHAnsi" w:hAnsi="Palatino Linotype" w:cstheme="minorBidi"/>
          <w:b w:val="0"/>
          <w:bCs w:val="0"/>
          <w:color w:val="000000" w:themeColor="text1"/>
          <w:sz w:val="22"/>
          <w:szCs w:val="22"/>
        </w:rPr>
        <w:t>:</w:t>
      </w:r>
    </w:p>
    <w:p w14:paraId="48526C9F" w14:textId="1D1DFBA9" w:rsidR="009B4FBD" w:rsidRPr="00B0697E" w:rsidRDefault="009B4FBD" w:rsidP="000A2344">
      <w:pPr>
        <w:pStyle w:val="Heading3"/>
        <w:shd w:val="clear" w:color="auto" w:fill="FFFFFF"/>
        <w:spacing w:before="0" w:beforeAutospacing="0" w:after="0" w:afterAutospacing="0"/>
        <w:rPr>
          <w:rFonts w:ascii="Palatino Linotype" w:eastAsiaTheme="minorHAnsi" w:hAnsi="Palatino Linotype" w:cstheme="minorBidi"/>
          <w:b w:val="0"/>
          <w:bCs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9B4FBD" w:rsidRPr="00B0697E" w14:paraId="41993F36" w14:textId="77777777" w:rsidTr="00B53407">
        <w:trPr>
          <w:jc w:val="center"/>
        </w:trPr>
        <w:tc>
          <w:tcPr>
            <w:tcW w:w="4819" w:type="dxa"/>
          </w:tcPr>
          <w:p w14:paraId="7446A05D" w14:textId="09BF18DC" w:rsidR="009B4FBD" w:rsidRPr="00B0697E" w:rsidRDefault="009B4FBD" w:rsidP="009B4FBD">
            <w:pPr>
              <w:pStyle w:val="Heading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60"/>
              <w:outlineLvl w:val="2"/>
              <w:rPr>
                <w:rFonts w:ascii="Palatino Linotype" w:eastAsiaTheme="minorHAnsi" w:hAnsi="Palatino Linotype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697E">
              <w:rPr>
                <w:rFonts w:ascii="Palatino Linotype" w:hAnsi="Palatino Linotype"/>
                <w:b w:val="0"/>
                <w:bCs w:val="0"/>
                <w:color w:val="000000" w:themeColor="text1"/>
                <w:sz w:val="22"/>
                <w:szCs w:val="22"/>
              </w:rPr>
              <w:t xml:space="preserve">Critical Thinking/Problem Solving </w:t>
            </w:r>
          </w:p>
        </w:tc>
        <w:tc>
          <w:tcPr>
            <w:tcW w:w="4819" w:type="dxa"/>
          </w:tcPr>
          <w:p w14:paraId="54830665" w14:textId="62A03021" w:rsidR="009B4FBD" w:rsidRPr="00B0697E" w:rsidRDefault="009B4FBD" w:rsidP="000A2344">
            <w:pPr>
              <w:numPr>
                <w:ilvl w:val="0"/>
                <w:numId w:val="2"/>
              </w:numPr>
              <w:shd w:val="clear" w:color="auto" w:fill="FEFEFE"/>
              <w:tabs>
                <w:tab w:val="clear" w:pos="720"/>
                <w:tab w:val="num" w:pos="360"/>
              </w:tabs>
              <w:ind w:left="36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B0697E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Leadership</w:t>
            </w:r>
          </w:p>
        </w:tc>
      </w:tr>
      <w:tr w:rsidR="009B4FBD" w:rsidRPr="00B0697E" w14:paraId="43C3C838" w14:textId="77777777" w:rsidTr="00B53407">
        <w:trPr>
          <w:jc w:val="center"/>
        </w:trPr>
        <w:tc>
          <w:tcPr>
            <w:tcW w:w="4819" w:type="dxa"/>
          </w:tcPr>
          <w:p w14:paraId="2F1AD163" w14:textId="26408D51" w:rsidR="009B4FBD" w:rsidRPr="00B0697E" w:rsidRDefault="009B4FBD" w:rsidP="000A2344">
            <w:pPr>
              <w:numPr>
                <w:ilvl w:val="0"/>
                <w:numId w:val="2"/>
              </w:numPr>
              <w:shd w:val="clear" w:color="auto" w:fill="FEFEFE"/>
              <w:tabs>
                <w:tab w:val="clear" w:pos="720"/>
                <w:tab w:val="num" w:pos="360"/>
              </w:tabs>
              <w:ind w:left="36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B0697E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Oral/Written Communications</w:t>
            </w:r>
          </w:p>
        </w:tc>
        <w:tc>
          <w:tcPr>
            <w:tcW w:w="4819" w:type="dxa"/>
          </w:tcPr>
          <w:p w14:paraId="32DF837B" w14:textId="3C969D1B" w:rsidR="009B4FBD" w:rsidRPr="00B0697E" w:rsidRDefault="009B4FBD" w:rsidP="009B4FBD">
            <w:pPr>
              <w:numPr>
                <w:ilvl w:val="0"/>
                <w:numId w:val="2"/>
              </w:numPr>
              <w:shd w:val="clear" w:color="auto" w:fill="FEFEFE"/>
              <w:tabs>
                <w:tab w:val="clear" w:pos="720"/>
                <w:tab w:val="num" w:pos="360"/>
              </w:tabs>
              <w:ind w:left="36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B0697E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Professionalism/Work Ethic</w:t>
            </w:r>
          </w:p>
        </w:tc>
      </w:tr>
      <w:tr w:rsidR="009B4FBD" w:rsidRPr="00B0697E" w14:paraId="315DDA28" w14:textId="77777777" w:rsidTr="00B53407">
        <w:trPr>
          <w:jc w:val="center"/>
        </w:trPr>
        <w:tc>
          <w:tcPr>
            <w:tcW w:w="4819" w:type="dxa"/>
          </w:tcPr>
          <w:p w14:paraId="48E4F192" w14:textId="1CCE6D66" w:rsidR="009B4FBD" w:rsidRPr="00B0697E" w:rsidRDefault="009B4FBD" w:rsidP="000A2344">
            <w:pPr>
              <w:numPr>
                <w:ilvl w:val="0"/>
                <w:numId w:val="2"/>
              </w:numPr>
              <w:shd w:val="clear" w:color="auto" w:fill="FEFEFE"/>
              <w:tabs>
                <w:tab w:val="clear" w:pos="720"/>
                <w:tab w:val="num" w:pos="360"/>
              </w:tabs>
              <w:ind w:left="36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B0697E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Teamwork/Collaboration </w:t>
            </w:r>
          </w:p>
        </w:tc>
        <w:tc>
          <w:tcPr>
            <w:tcW w:w="4819" w:type="dxa"/>
          </w:tcPr>
          <w:p w14:paraId="12145717" w14:textId="5E0E04DF" w:rsidR="009B4FBD" w:rsidRPr="00B0697E" w:rsidRDefault="009B4FBD" w:rsidP="000A2344">
            <w:pPr>
              <w:numPr>
                <w:ilvl w:val="0"/>
                <w:numId w:val="2"/>
              </w:numPr>
              <w:shd w:val="clear" w:color="auto" w:fill="FEFEFE"/>
              <w:tabs>
                <w:tab w:val="clear" w:pos="720"/>
                <w:tab w:val="num" w:pos="360"/>
              </w:tabs>
              <w:ind w:left="36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B0697E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Career Management </w:t>
            </w:r>
          </w:p>
        </w:tc>
      </w:tr>
      <w:tr w:rsidR="009B4FBD" w:rsidRPr="00B0697E" w14:paraId="51F94C5F" w14:textId="77777777" w:rsidTr="00B53407">
        <w:trPr>
          <w:jc w:val="center"/>
        </w:trPr>
        <w:tc>
          <w:tcPr>
            <w:tcW w:w="4819" w:type="dxa"/>
          </w:tcPr>
          <w:p w14:paraId="78871156" w14:textId="7C79DE8B" w:rsidR="009B4FBD" w:rsidRPr="00B0697E" w:rsidRDefault="009B4FBD" w:rsidP="000A2344">
            <w:pPr>
              <w:numPr>
                <w:ilvl w:val="0"/>
                <w:numId w:val="2"/>
              </w:numPr>
              <w:shd w:val="clear" w:color="auto" w:fill="FEFEFE"/>
              <w:tabs>
                <w:tab w:val="clear" w:pos="720"/>
                <w:tab w:val="num" w:pos="360"/>
              </w:tabs>
              <w:ind w:left="36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B0697E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Digital Technology</w:t>
            </w:r>
          </w:p>
        </w:tc>
        <w:tc>
          <w:tcPr>
            <w:tcW w:w="4819" w:type="dxa"/>
          </w:tcPr>
          <w:p w14:paraId="70B10427" w14:textId="7E08F33C" w:rsidR="009B4FBD" w:rsidRPr="00B0697E" w:rsidRDefault="009B4FBD" w:rsidP="000A2344">
            <w:pPr>
              <w:numPr>
                <w:ilvl w:val="0"/>
                <w:numId w:val="2"/>
              </w:numPr>
              <w:shd w:val="clear" w:color="auto" w:fill="FEFEFE"/>
              <w:tabs>
                <w:tab w:val="clear" w:pos="720"/>
                <w:tab w:val="num" w:pos="360"/>
              </w:tabs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B0697E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Global/Intercultural Fluenc</w:t>
            </w:r>
            <w:r w:rsidR="005241D1" w:rsidRPr="00B0697E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y</w:t>
            </w:r>
          </w:p>
        </w:tc>
      </w:tr>
    </w:tbl>
    <w:p w14:paraId="224C4B74" w14:textId="77777777" w:rsidR="009B4FBD" w:rsidRPr="00B0697E" w:rsidRDefault="009B4FBD" w:rsidP="000A2344">
      <w:pPr>
        <w:pStyle w:val="Heading3"/>
        <w:shd w:val="clear" w:color="auto" w:fill="FFFFFF"/>
        <w:spacing w:before="0" w:beforeAutospacing="0" w:after="0" w:afterAutospacing="0"/>
        <w:rPr>
          <w:rFonts w:ascii="Palatino Linotype" w:eastAsiaTheme="minorHAnsi" w:hAnsi="Palatino Linotype" w:cstheme="minorBidi"/>
          <w:b w:val="0"/>
          <w:bCs w:val="0"/>
          <w:color w:val="000000" w:themeColor="text1"/>
          <w:sz w:val="22"/>
          <w:szCs w:val="22"/>
        </w:rPr>
      </w:pPr>
    </w:p>
    <w:p w14:paraId="1213D570" w14:textId="007DE32E" w:rsidR="003E0469" w:rsidRPr="00B0697E" w:rsidRDefault="0028754B" w:rsidP="002C4CFA">
      <w:pPr>
        <w:rPr>
          <w:rFonts w:ascii="Palatino Linotype" w:hAnsi="Palatino Linotype"/>
          <w:sz w:val="22"/>
          <w:szCs w:val="22"/>
        </w:rPr>
      </w:pPr>
      <w:r w:rsidRPr="00B0697E">
        <w:rPr>
          <w:rFonts w:ascii="Palatino Linotype" w:hAnsi="Palatino Linotype"/>
          <w:sz w:val="22"/>
          <w:szCs w:val="22"/>
        </w:rPr>
        <w:t>The summaries of FAU survey data conducted in Fall 2020 of employers, recent alumni, and faculty reveal</w:t>
      </w:r>
      <w:r w:rsidR="00A662D0" w:rsidRPr="00B0697E">
        <w:rPr>
          <w:rFonts w:ascii="Palatino Linotype" w:hAnsi="Palatino Linotype"/>
          <w:sz w:val="22"/>
          <w:szCs w:val="22"/>
        </w:rPr>
        <w:t xml:space="preserve"> an achievement gap in these </w:t>
      </w:r>
      <w:r w:rsidR="00682327" w:rsidRPr="00B0697E">
        <w:rPr>
          <w:rFonts w:ascii="Palatino Linotype" w:hAnsi="Palatino Linotype"/>
          <w:sz w:val="22"/>
          <w:szCs w:val="22"/>
        </w:rPr>
        <w:t>8</w:t>
      </w:r>
      <w:r w:rsidR="00A662D0" w:rsidRPr="00B0697E">
        <w:rPr>
          <w:rFonts w:ascii="Palatino Linotype" w:hAnsi="Palatino Linotype"/>
          <w:sz w:val="22"/>
          <w:szCs w:val="22"/>
        </w:rPr>
        <w:t xml:space="preserve"> career readiness competencies</w:t>
      </w:r>
      <w:r w:rsidR="007168A7" w:rsidRPr="00B0697E">
        <w:rPr>
          <w:rFonts w:ascii="Palatino Linotype" w:hAnsi="Palatino Linotype"/>
          <w:sz w:val="22"/>
          <w:szCs w:val="22"/>
        </w:rPr>
        <w:t xml:space="preserve"> between the level of importance assigned by employers and the perceived </w:t>
      </w:r>
      <w:r w:rsidR="00171AA8" w:rsidRPr="00B0697E">
        <w:rPr>
          <w:rFonts w:ascii="Palatino Linotype" w:hAnsi="Palatino Linotype"/>
          <w:sz w:val="22"/>
          <w:szCs w:val="22"/>
        </w:rPr>
        <w:t xml:space="preserve">abilities of FAU graduates in their hire. </w:t>
      </w:r>
    </w:p>
    <w:p w14:paraId="3860B212" w14:textId="77777777" w:rsidR="009B73E7" w:rsidRPr="00B0697E" w:rsidRDefault="009B73E7" w:rsidP="002C4CFA">
      <w:pPr>
        <w:rPr>
          <w:rFonts w:ascii="Palatino Linotype" w:hAnsi="Palatino Linotype"/>
          <w:sz w:val="22"/>
          <w:szCs w:val="22"/>
        </w:rPr>
      </w:pP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1305"/>
        <w:gridCol w:w="1170"/>
        <w:gridCol w:w="1890"/>
      </w:tblGrid>
      <w:tr w:rsidR="009B73E7" w:rsidRPr="00B0697E" w14:paraId="62F71EFA" w14:textId="77777777" w:rsidTr="005241D1">
        <w:trPr>
          <w:trHeight w:val="330"/>
          <w:jc w:val="center"/>
        </w:trPr>
        <w:tc>
          <w:tcPr>
            <w:tcW w:w="3640" w:type="dxa"/>
            <w:shd w:val="clear" w:color="auto" w:fill="auto"/>
            <w:noWrap/>
            <w:vAlign w:val="bottom"/>
          </w:tcPr>
          <w:p w14:paraId="1250D7D5" w14:textId="1921C169" w:rsidR="009B73E7" w:rsidRPr="00B0697E" w:rsidRDefault="009B73E7" w:rsidP="00B0697E">
            <w:pPr>
              <w:spacing w:line="276" w:lineRule="auto"/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Competency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14:paraId="4274B1C3" w14:textId="6FAFA3E6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 xml:space="preserve">Employer </w:t>
            </w:r>
            <w:r w:rsidR="006E3825" w:rsidRPr="00B0697E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Rating</w:t>
            </w:r>
            <w:r w:rsidR="003800F1" w:rsidRPr="00B0697E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1D46633" w14:textId="402FB1C1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 xml:space="preserve">Faculty </w:t>
            </w:r>
            <w:r w:rsidR="006E3825" w:rsidRPr="00B0697E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Rating</w:t>
            </w:r>
            <w:r w:rsidR="003800F1" w:rsidRPr="00B0697E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1C617CA2" w14:textId="00C3150E" w:rsidR="009B73E7" w:rsidRPr="00B0697E" w:rsidRDefault="00862CF4" w:rsidP="00B0697E">
            <w:pPr>
              <w:spacing w:line="276" w:lineRule="auto"/>
              <w:jc w:val="right"/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FAU Graduates Achievement</w:t>
            </w:r>
            <w:r w:rsidR="003800F1" w:rsidRPr="00B0697E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9B73E7" w:rsidRPr="00B0697E" w14:paraId="14F93546" w14:textId="77777777" w:rsidTr="005241D1">
        <w:trPr>
          <w:trHeight w:val="330"/>
          <w:jc w:val="center"/>
        </w:trPr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BD67669" w14:textId="77777777" w:rsidR="009B73E7" w:rsidRPr="00B0697E" w:rsidRDefault="009B73E7" w:rsidP="00B0697E">
            <w:pPr>
              <w:spacing w:line="276" w:lineRule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Critical Thinking/Problem Solving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D894CB9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7511FFC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1.29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E44EB06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1.70</w:t>
            </w:r>
          </w:p>
        </w:tc>
      </w:tr>
      <w:tr w:rsidR="009B73E7" w:rsidRPr="00B0697E" w14:paraId="13CEF7D9" w14:textId="77777777" w:rsidTr="005241D1">
        <w:trPr>
          <w:trHeight w:val="330"/>
          <w:jc w:val="center"/>
        </w:trPr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77D8E14" w14:textId="77777777" w:rsidR="009B73E7" w:rsidRPr="00B0697E" w:rsidRDefault="009B73E7" w:rsidP="00B0697E">
            <w:pPr>
              <w:spacing w:line="276" w:lineRule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Oral/Written Communications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6C07253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FEECAEA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6EB8160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1.68</w:t>
            </w:r>
          </w:p>
        </w:tc>
      </w:tr>
      <w:tr w:rsidR="009B73E7" w:rsidRPr="00B0697E" w14:paraId="67CD05C9" w14:textId="77777777" w:rsidTr="005241D1">
        <w:trPr>
          <w:trHeight w:val="330"/>
          <w:jc w:val="center"/>
        </w:trPr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6070D9D" w14:textId="77777777" w:rsidR="009B73E7" w:rsidRPr="00B0697E" w:rsidRDefault="009B73E7" w:rsidP="00B0697E">
            <w:pPr>
              <w:spacing w:line="276" w:lineRule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Teamwork/Collaboration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7A1E1FA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8671885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1.64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624AB51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1.47</w:t>
            </w:r>
          </w:p>
        </w:tc>
      </w:tr>
      <w:tr w:rsidR="009B73E7" w:rsidRPr="00B0697E" w14:paraId="3962A807" w14:textId="77777777" w:rsidTr="005241D1">
        <w:trPr>
          <w:trHeight w:val="330"/>
          <w:jc w:val="center"/>
        </w:trPr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F63D52C" w14:textId="77777777" w:rsidR="009B73E7" w:rsidRPr="00B0697E" w:rsidRDefault="009B73E7" w:rsidP="00B0697E">
            <w:pPr>
              <w:spacing w:line="276" w:lineRule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Digital Technology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3F5DB10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9E1EC19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1.51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B2B5B84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1.65</w:t>
            </w:r>
          </w:p>
        </w:tc>
      </w:tr>
      <w:tr w:rsidR="009B73E7" w:rsidRPr="00B0697E" w14:paraId="15CC20E3" w14:textId="77777777" w:rsidTr="005241D1">
        <w:trPr>
          <w:trHeight w:val="330"/>
          <w:jc w:val="center"/>
        </w:trPr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8D4DC8D" w14:textId="77777777" w:rsidR="009B73E7" w:rsidRPr="00B0697E" w:rsidRDefault="009B73E7" w:rsidP="00B0697E">
            <w:pPr>
              <w:spacing w:line="276" w:lineRule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91DD60E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8A99FD7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1.93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E65E342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1.92</w:t>
            </w:r>
          </w:p>
        </w:tc>
      </w:tr>
      <w:tr w:rsidR="009B73E7" w:rsidRPr="00B0697E" w14:paraId="3EFED161" w14:textId="77777777" w:rsidTr="005241D1">
        <w:trPr>
          <w:trHeight w:val="330"/>
          <w:jc w:val="center"/>
        </w:trPr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31669FF" w14:textId="77777777" w:rsidR="009B73E7" w:rsidRPr="00B0697E" w:rsidRDefault="009B73E7" w:rsidP="00B0697E">
            <w:pPr>
              <w:spacing w:line="276" w:lineRule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Professionalism/Work Ethic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DED4B0F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36535BF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1.36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CCBBC2C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1.52</w:t>
            </w:r>
          </w:p>
        </w:tc>
      </w:tr>
      <w:tr w:rsidR="009B73E7" w:rsidRPr="00B0697E" w14:paraId="2B44DBED" w14:textId="77777777" w:rsidTr="005241D1">
        <w:trPr>
          <w:trHeight w:val="330"/>
          <w:jc w:val="center"/>
        </w:trPr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0B35792" w14:textId="77777777" w:rsidR="009B73E7" w:rsidRPr="00B0697E" w:rsidRDefault="009B73E7" w:rsidP="00B0697E">
            <w:pPr>
              <w:spacing w:line="276" w:lineRule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Career Management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B335402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B2A8DA5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A88C045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1.73</w:t>
            </w:r>
          </w:p>
        </w:tc>
      </w:tr>
      <w:tr w:rsidR="009B73E7" w:rsidRPr="00B0697E" w14:paraId="02F02DFD" w14:textId="77777777" w:rsidTr="005241D1">
        <w:trPr>
          <w:trHeight w:val="330"/>
          <w:jc w:val="center"/>
        </w:trPr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BB5EA2B" w14:textId="77777777" w:rsidR="009B73E7" w:rsidRPr="00B0697E" w:rsidRDefault="009B73E7" w:rsidP="00B0697E">
            <w:pPr>
              <w:spacing w:line="276" w:lineRule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Global/Intercultural Fluency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CE529A5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1.27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E7B775B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19EC4C9" w14:textId="77777777" w:rsidR="009B73E7" w:rsidRPr="00B0697E" w:rsidRDefault="009B73E7" w:rsidP="00B0697E">
            <w:pPr>
              <w:spacing w:line="276" w:lineRule="auto"/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B06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1.58</w:t>
            </w:r>
          </w:p>
        </w:tc>
      </w:tr>
    </w:tbl>
    <w:p w14:paraId="168B7FDB" w14:textId="29F7BE29" w:rsidR="003E0469" w:rsidRPr="00B0697E" w:rsidRDefault="003800F1" w:rsidP="002C4CFA">
      <w:pPr>
        <w:rPr>
          <w:rFonts w:ascii="Palatino Linotype" w:hAnsi="Palatino Linotype"/>
          <w:i/>
          <w:iCs/>
          <w:sz w:val="22"/>
          <w:szCs w:val="22"/>
        </w:rPr>
      </w:pPr>
      <w:r w:rsidRPr="00B0697E">
        <w:rPr>
          <w:rFonts w:ascii="Palatino Linotype" w:hAnsi="Palatino Linotype"/>
          <w:i/>
          <w:iCs/>
          <w:sz w:val="22"/>
          <w:szCs w:val="22"/>
        </w:rPr>
        <w:tab/>
        <w:t xml:space="preserve">      *Rating of 1 = “Very important” on a 4-point Likert scale</w:t>
      </w:r>
    </w:p>
    <w:p w14:paraId="4F2AA977" w14:textId="6CD7507B" w:rsidR="004F533D" w:rsidRDefault="003800F1" w:rsidP="004F533D">
      <w:pPr>
        <w:rPr>
          <w:rFonts w:ascii="Palatino Linotype" w:hAnsi="Palatino Linotype"/>
          <w:sz w:val="22"/>
          <w:szCs w:val="22"/>
        </w:rPr>
      </w:pPr>
      <w:r w:rsidRPr="003800F1">
        <w:rPr>
          <w:rFonts w:ascii="Palatino Linotype" w:hAnsi="Palatino Linotype"/>
          <w:sz w:val="22"/>
          <w:szCs w:val="22"/>
        </w:rPr>
        <w:lastRenderedPageBreak/>
        <w:t xml:space="preserve">Also striking is that some of the largest achievement gaps, such as teamwork, leadership, and career </w:t>
      </w:r>
      <w:r w:rsidR="004F533D" w:rsidRPr="000B3E88">
        <w:rPr>
          <w:rFonts w:ascii="Palatino Linotype" w:hAnsi="Palatino Linotype"/>
          <w:sz w:val="22"/>
          <w:szCs w:val="22"/>
        </w:rPr>
        <w:t xml:space="preserve">management are areas in which </w:t>
      </w:r>
      <w:r w:rsidR="00B0697E">
        <w:rPr>
          <w:rFonts w:ascii="Palatino Linotype" w:hAnsi="Palatino Linotype"/>
          <w:sz w:val="22"/>
          <w:szCs w:val="22"/>
        </w:rPr>
        <w:t xml:space="preserve">FAU </w:t>
      </w:r>
      <w:r w:rsidR="004F533D" w:rsidRPr="000B3E88">
        <w:rPr>
          <w:rFonts w:ascii="Palatino Linotype" w:hAnsi="Palatino Linotype"/>
          <w:sz w:val="22"/>
          <w:szCs w:val="22"/>
        </w:rPr>
        <w:t xml:space="preserve">faculty are not aligned with employers in assigning the same value of importance. </w:t>
      </w:r>
      <w:r w:rsidR="006C3E3D" w:rsidRPr="000B3E88">
        <w:rPr>
          <w:rFonts w:ascii="Palatino Linotype" w:hAnsi="Palatino Linotype"/>
          <w:sz w:val="22"/>
          <w:szCs w:val="22"/>
        </w:rPr>
        <w:t xml:space="preserve">For example, </w:t>
      </w:r>
      <w:r w:rsidR="00063B86" w:rsidRPr="000B3E88">
        <w:rPr>
          <w:rFonts w:ascii="Palatino Linotype" w:hAnsi="Palatino Linotype"/>
          <w:sz w:val="22"/>
          <w:szCs w:val="22"/>
        </w:rPr>
        <w:t>teamwork/collaboration was ranked 3</w:t>
      </w:r>
      <w:r w:rsidR="00063B86" w:rsidRPr="003800F1">
        <w:rPr>
          <w:rFonts w:ascii="Palatino Linotype" w:hAnsi="Palatino Linotype"/>
          <w:sz w:val="22"/>
          <w:szCs w:val="22"/>
        </w:rPr>
        <w:t>rd</w:t>
      </w:r>
      <w:r w:rsidR="00063B86" w:rsidRPr="000B3E88">
        <w:rPr>
          <w:rFonts w:ascii="Palatino Linotype" w:hAnsi="Palatino Linotype"/>
          <w:sz w:val="22"/>
          <w:szCs w:val="22"/>
        </w:rPr>
        <w:t xml:space="preserve"> by the employers but only 13</w:t>
      </w:r>
      <w:r w:rsidR="00063B86" w:rsidRPr="003800F1">
        <w:rPr>
          <w:rFonts w:ascii="Palatino Linotype" w:hAnsi="Palatino Linotype"/>
          <w:sz w:val="22"/>
          <w:szCs w:val="22"/>
        </w:rPr>
        <w:t>th</w:t>
      </w:r>
      <w:r w:rsidR="00063B86" w:rsidRPr="000B3E88">
        <w:rPr>
          <w:rFonts w:ascii="Palatino Linotype" w:hAnsi="Palatino Linotype"/>
          <w:sz w:val="22"/>
          <w:szCs w:val="22"/>
        </w:rPr>
        <w:t xml:space="preserve"> by faculty</w:t>
      </w:r>
      <w:r w:rsidR="00555EC5">
        <w:rPr>
          <w:rFonts w:ascii="Palatino Linotype" w:hAnsi="Palatino Linotype"/>
          <w:sz w:val="22"/>
          <w:szCs w:val="22"/>
        </w:rPr>
        <w:t>,</w:t>
      </w:r>
      <w:r w:rsidR="00247102" w:rsidRPr="000B3E88">
        <w:rPr>
          <w:rFonts w:ascii="Palatino Linotype" w:hAnsi="Palatino Linotype"/>
          <w:sz w:val="22"/>
          <w:szCs w:val="22"/>
        </w:rPr>
        <w:t xml:space="preserve"> and career management was ranked number 1 by the employers but </w:t>
      </w:r>
      <w:r w:rsidR="00843CA1" w:rsidRPr="000B3E88">
        <w:rPr>
          <w:rFonts w:ascii="Palatino Linotype" w:hAnsi="Palatino Linotype"/>
          <w:sz w:val="22"/>
          <w:szCs w:val="22"/>
        </w:rPr>
        <w:t xml:space="preserve">ranked near the bottom of the top 5 for faculty. It </w:t>
      </w:r>
      <w:r w:rsidR="004F533D" w:rsidRPr="000B3E88">
        <w:rPr>
          <w:rFonts w:ascii="Palatino Linotype" w:hAnsi="Palatino Linotype"/>
          <w:sz w:val="22"/>
          <w:szCs w:val="22"/>
        </w:rPr>
        <w:t xml:space="preserve">is interesting to note that all 8 </w:t>
      </w:r>
      <w:r w:rsidR="009D5CAD" w:rsidRPr="000B3E88">
        <w:rPr>
          <w:rFonts w:ascii="Palatino Linotype" w:hAnsi="Palatino Linotype"/>
          <w:sz w:val="22"/>
          <w:szCs w:val="22"/>
        </w:rPr>
        <w:t xml:space="preserve">NACE </w:t>
      </w:r>
      <w:r w:rsidR="004F533D" w:rsidRPr="000B3E88">
        <w:rPr>
          <w:rFonts w:ascii="Palatino Linotype" w:hAnsi="Palatino Linotype"/>
          <w:sz w:val="22"/>
          <w:szCs w:val="22"/>
        </w:rPr>
        <w:t>competencies were ranked in the top 10 out of 18 for employers</w:t>
      </w:r>
      <w:r w:rsidR="009D5CAD" w:rsidRPr="000B3E88">
        <w:rPr>
          <w:rFonts w:ascii="Palatino Linotype" w:hAnsi="Palatino Linotype"/>
          <w:sz w:val="22"/>
          <w:szCs w:val="22"/>
        </w:rPr>
        <w:t>, but leadership and teamwork were not in the top 10 for the faculty</w:t>
      </w:r>
      <w:r w:rsidR="004F533D" w:rsidRPr="000B3E88">
        <w:rPr>
          <w:rFonts w:ascii="Palatino Linotype" w:hAnsi="Palatino Linotype"/>
          <w:sz w:val="22"/>
          <w:szCs w:val="22"/>
        </w:rPr>
        <w:t xml:space="preserve">. </w:t>
      </w:r>
    </w:p>
    <w:p w14:paraId="3B389AD5" w14:textId="77777777" w:rsidR="00711EFD" w:rsidRDefault="00711EFD" w:rsidP="00052ADB">
      <w:pPr>
        <w:rPr>
          <w:rFonts w:ascii="Palatino Linotype" w:hAnsi="Palatino Linotype"/>
          <w:sz w:val="22"/>
          <w:szCs w:val="22"/>
        </w:rPr>
      </w:pPr>
    </w:p>
    <w:p w14:paraId="627D47C1" w14:textId="0E8C7B39" w:rsidR="00052ADB" w:rsidRPr="0061429A" w:rsidRDefault="00004E65" w:rsidP="00052ADB">
      <w:pPr>
        <w:rPr>
          <w:rFonts w:ascii="Palatino Linotype" w:hAnsi="Palatino Linotype"/>
          <w:color w:val="FF0000"/>
          <w:sz w:val="22"/>
          <w:szCs w:val="22"/>
        </w:rPr>
      </w:pPr>
      <w:r w:rsidRPr="00004E65">
        <w:rPr>
          <w:rFonts w:ascii="Palatino Linotype" w:hAnsi="Palatino Linotype"/>
          <w:b/>
          <w:bCs/>
          <w:sz w:val="22"/>
          <w:szCs w:val="22"/>
        </w:rPr>
        <w:t>Strategic Plan</w:t>
      </w:r>
      <w:r>
        <w:rPr>
          <w:rFonts w:ascii="Palatino Linotype" w:hAnsi="Palatino Linotype"/>
          <w:sz w:val="22"/>
          <w:szCs w:val="22"/>
        </w:rPr>
        <w:t xml:space="preserve">: </w:t>
      </w:r>
      <w:r w:rsidR="00193347" w:rsidRPr="000B3E88">
        <w:rPr>
          <w:rFonts w:ascii="Palatino Linotype" w:hAnsi="Palatino Linotype"/>
          <w:sz w:val="22"/>
          <w:szCs w:val="22"/>
        </w:rPr>
        <w:t>To address th</w:t>
      </w:r>
      <w:r w:rsidR="00CA5287">
        <w:rPr>
          <w:rFonts w:ascii="Palatino Linotype" w:hAnsi="Palatino Linotype"/>
          <w:sz w:val="22"/>
          <w:szCs w:val="22"/>
        </w:rPr>
        <w:t>is</w:t>
      </w:r>
      <w:r w:rsidR="00193347" w:rsidRPr="000B3E88">
        <w:rPr>
          <w:rFonts w:ascii="Palatino Linotype" w:hAnsi="Palatino Linotype"/>
          <w:sz w:val="22"/>
          <w:szCs w:val="22"/>
        </w:rPr>
        <w:t xml:space="preserve"> lack of alignment, </w:t>
      </w:r>
      <w:r w:rsidR="003935A4">
        <w:rPr>
          <w:rFonts w:ascii="Palatino Linotype" w:hAnsi="Palatino Linotype"/>
          <w:sz w:val="22"/>
          <w:szCs w:val="22"/>
        </w:rPr>
        <w:t xml:space="preserve">we </w:t>
      </w:r>
      <w:r w:rsidR="00951585">
        <w:rPr>
          <w:rFonts w:ascii="Palatino Linotype" w:hAnsi="Palatino Linotype"/>
          <w:sz w:val="22"/>
          <w:szCs w:val="22"/>
        </w:rPr>
        <w:t>propos</w:t>
      </w:r>
      <w:r w:rsidR="00B0697E">
        <w:rPr>
          <w:rFonts w:ascii="Palatino Linotype" w:hAnsi="Palatino Linotype"/>
          <w:sz w:val="22"/>
          <w:szCs w:val="22"/>
        </w:rPr>
        <w:t>e</w:t>
      </w:r>
      <w:r w:rsidR="00951585">
        <w:rPr>
          <w:rFonts w:ascii="Palatino Linotype" w:hAnsi="Palatino Linotype"/>
          <w:sz w:val="22"/>
          <w:szCs w:val="22"/>
        </w:rPr>
        <w:t xml:space="preserve"> an initiative that targets</w:t>
      </w:r>
      <w:r w:rsidR="00680398" w:rsidRPr="002D10C8">
        <w:rPr>
          <w:rFonts w:ascii="Palatino Linotype" w:hAnsi="Palatino Linotype"/>
          <w:color w:val="FF0000"/>
          <w:sz w:val="22"/>
          <w:szCs w:val="22"/>
        </w:rPr>
        <w:t xml:space="preserve"> </w:t>
      </w:r>
      <w:r w:rsidR="00680398" w:rsidRPr="000B3E88">
        <w:rPr>
          <w:rFonts w:ascii="Palatino Linotype" w:hAnsi="Palatino Linotype"/>
          <w:sz w:val="22"/>
          <w:szCs w:val="22"/>
        </w:rPr>
        <w:t xml:space="preserve">cross-functional interdisciplinary employability </w:t>
      </w:r>
      <w:r>
        <w:rPr>
          <w:rFonts w:ascii="Palatino Linotype" w:hAnsi="Palatino Linotype"/>
          <w:sz w:val="22"/>
          <w:szCs w:val="22"/>
        </w:rPr>
        <w:t>skills in curricular and co-curricular frameworks</w:t>
      </w:r>
      <w:r w:rsidR="002D10C8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 xml:space="preserve">faculty professional development, </w:t>
      </w:r>
      <w:r w:rsidR="00951585" w:rsidRPr="000B3E88">
        <w:rPr>
          <w:rFonts w:ascii="Palatino Linotype" w:hAnsi="Palatino Linotype"/>
          <w:sz w:val="22"/>
          <w:szCs w:val="22"/>
        </w:rPr>
        <w:t xml:space="preserve">well-integrated </w:t>
      </w:r>
      <w:r w:rsidR="002D10C8" w:rsidRPr="00951585">
        <w:rPr>
          <w:rFonts w:ascii="Palatino Linotype" w:hAnsi="Palatino Linotype"/>
          <w:sz w:val="22"/>
          <w:szCs w:val="22"/>
        </w:rPr>
        <w:t>utilization of career services</w:t>
      </w:r>
      <w:r w:rsidR="00B0697E">
        <w:rPr>
          <w:rFonts w:ascii="Palatino Linotype" w:hAnsi="Palatino Linotype"/>
          <w:sz w:val="22"/>
          <w:szCs w:val="22"/>
        </w:rPr>
        <w:t>,</w:t>
      </w:r>
      <w:r w:rsidR="00680398" w:rsidRPr="00951585">
        <w:rPr>
          <w:rFonts w:ascii="Palatino Linotype" w:hAnsi="Palatino Linotype"/>
          <w:sz w:val="22"/>
          <w:szCs w:val="22"/>
        </w:rPr>
        <w:t xml:space="preserve"> </w:t>
      </w:r>
      <w:r w:rsidR="00680398" w:rsidRPr="000B3E88">
        <w:rPr>
          <w:rFonts w:ascii="Palatino Linotype" w:hAnsi="Palatino Linotype"/>
          <w:sz w:val="22"/>
          <w:szCs w:val="22"/>
        </w:rPr>
        <w:t xml:space="preserve">and </w:t>
      </w:r>
      <w:r>
        <w:rPr>
          <w:rFonts w:ascii="Palatino Linotype" w:hAnsi="Palatino Linotype"/>
          <w:sz w:val="22"/>
          <w:szCs w:val="22"/>
        </w:rPr>
        <w:t>community outreach focused o</w:t>
      </w:r>
      <w:r w:rsidR="00103EBE" w:rsidRPr="000B3E88">
        <w:rPr>
          <w:rFonts w:ascii="Palatino Linotype" w:hAnsi="Palatino Linotype"/>
          <w:sz w:val="22"/>
          <w:szCs w:val="22"/>
        </w:rPr>
        <w:t>n</w:t>
      </w:r>
      <w:r w:rsidR="00680398" w:rsidRPr="000B3E8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strengthening </w:t>
      </w:r>
      <w:r w:rsidR="00680398" w:rsidRPr="000B3E88">
        <w:rPr>
          <w:rFonts w:ascii="Palatino Linotype" w:hAnsi="Palatino Linotype"/>
          <w:sz w:val="22"/>
          <w:szCs w:val="22"/>
        </w:rPr>
        <w:t xml:space="preserve">academic and </w:t>
      </w:r>
      <w:r w:rsidR="00073E13" w:rsidRPr="000B3E88">
        <w:rPr>
          <w:rFonts w:ascii="Palatino Linotype" w:hAnsi="Palatino Linotype"/>
          <w:sz w:val="22"/>
          <w:szCs w:val="22"/>
        </w:rPr>
        <w:t xml:space="preserve">NACE </w:t>
      </w:r>
      <w:r w:rsidR="00680398" w:rsidRPr="000B3E88">
        <w:rPr>
          <w:rFonts w:ascii="Palatino Linotype" w:hAnsi="Palatino Linotype"/>
          <w:sz w:val="22"/>
          <w:szCs w:val="22"/>
        </w:rPr>
        <w:t xml:space="preserve">career readiness competencies. </w:t>
      </w:r>
      <w:r w:rsidR="00B368FB" w:rsidRPr="000B3E88">
        <w:rPr>
          <w:rFonts w:ascii="Palatino Linotype" w:hAnsi="Palatino Linotype"/>
          <w:sz w:val="22"/>
          <w:szCs w:val="22"/>
        </w:rPr>
        <w:t>Integrating</w:t>
      </w:r>
      <w:r w:rsidR="00680398" w:rsidRPr="000B3E88">
        <w:rPr>
          <w:rFonts w:ascii="Palatino Linotype" w:hAnsi="Palatino Linotype"/>
          <w:sz w:val="22"/>
          <w:szCs w:val="22"/>
        </w:rPr>
        <w:t xml:space="preserve"> employability skills </w:t>
      </w:r>
      <w:r w:rsidR="00B368FB" w:rsidRPr="000B3E88">
        <w:rPr>
          <w:rFonts w:ascii="Palatino Linotype" w:hAnsi="Palatino Linotype"/>
          <w:sz w:val="22"/>
          <w:szCs w:val="22"/>
        </w:rPr>
        <w:t xml:space="preserve">across the curriculum </w:t>
      </w:r>
      <w:r w:rsidR="009E4553" w:rsidRPr="000B3E88">
        <w:rPr>
          <w:rFonts w:ascii="Palatino Linotype" w:hAnsi="Palatino Linotype"/>
          <w:sz w:val="22"/>
          <w:szCs w:val="22"/>
        </w:rPr>
        <w:t xml:space="preserve">will </w:t>
      </w:r>
      <w:r w:rsidR="00680398" w:rsidRPr="000B3E88">
        <w:rPr>
          <w:rFonts w:ascii="Palatino Linotype" w:hAnsi="Palatino Linotype"/>
          <w:sz w:val="22"/>
          <w:szCs w:val="22"/>
        </w:rPr>
        <w:t xml:space="preserve">provide students with the core </w:t>
      </w:r>
      <w:r w:rsidR="0074368F" w:rsidRPr="000B3E88">
        <w:rPr>
          <w:rFonts w:ascii="Palatino Linotype" w:hAnsi="Palatino Linotype"/>
          <w:sz w:val="22"/>
          <w:szCs w:val="22"/>
        </w:rPr>
        <w:t>job</w:t>
      </w:r>
      <w:r w:rsidR="00680398" w:rsidRPr="000B3E88">
        <w:rPr>
          <w:rFonts w:ascii="Palatino Linotype" w:hAnsi="Palatino Linotype"/>
          <w:sz w:val="22"/>
          <w:szCs w:val="22"/>
        </w:rPr>
        <w:t xml:space="preserve"> skills not only necessary </w:t>
      </w:r>
      <w:r w:rsidR="00B0697E">
        <w:rPr>
          <w:rFonts w:ascii="Palatino Linotype" w:hAnsi="Palatino Linotype"/>
          <w:sz w:val="22"/>
          <w:szCs w:val="22"/>
        </w:rPr>
        <w:t xml:space="preserve">for </w:t>
      </w:r>
      <w:r w:rsidR="00525015">
        <w:rPr>
          <w:rFonts w:ascii="Palatino Linotype" w:hAnsi="Palatino Linotype"/>
          <w:sz w:val="22"/>
          <w:szCs w:val="22"/>
        </w:rPr>
        <w:t>academic success</w:t>
      </w:r>
      <w:r w:rsidR="00680398" w:rsidRPr="000B3E88">
        <w:rPr>
          <w:rFonts w:ascii="Palatino Linotype" w:hAnsi="Palatino Linotype"/>
          <w:sz w:val="22"/>
          <w:szCs w:val="22"/>
        </w:rPr>
        <w:t>, but also to excel in the workforce</w:t>
      </w:r>
      <w:r w:rsidR="00B0697E">
        <w:rPr>
          <w:rFonts w:ascii="Palatino Linotype" w:hAnsi="Palatino Linotype"/>
          <w:sz w:val="22"/>
          <w:szCs w:val="22"/>
        </w:rPr>
        <w:t>,</w:t>
      </w:r>
      <w:r w:rsidR="009E4553" w:rsidRPr="000B3E88">
        <w:rPr>
          <w:rFonts w:ascii="Palatino Linotype" w:hAnsi="Palatino Linotype"/>
          <w:sz w:val="22"/>
          <w:szCs w:val="22"/>
        </w:rPr>
        <w:t xml:space="preserve"> to become productive members of society</w:t>
      </w:r>
      <w:r w:rsidR="00B0697E">
        <w:rPr>
          <w:rFonts w:ascii="Palatino Linotype" w:hAnsi="Palatino Linotype"/>
          <w:sz w:val="22"/>
          <w:szCs w:val="22"/>
        </w:rPr>
        <w:t>,</w:t>
      </w:r>
      <w:r w:rsidR="009E4553" w:rsidRPr="000B3E88">
        <w:rPr>
          <w:rFonts w:ascii="Palatino Linotype" w:hAnsi="Palatino Linotype"/>
          <w:sz w:val="22"/>
          <w:szCs w:val="22"/>
        </w:rPr>
        <w:t xml:space="preserve"> and </w:t>
      </w:r>
      <w:r w:rsidR="00B0697E">
        <w:rPr>
          <w:rFonts w:ascii="Palatino Linotype" w:hAnsi="Palatino Linotype"/>
          <w:sz w:val="22"/>
          <w:szCs w:val="22"/>
        </w:rPr>
        <w:t xml:space="preserve">to be </w:t>
      </w:r>
      <w:r w:rsidR="003463F1" w:rsidRPr="000B3E88">
        <w:rPr>
          <w:rFonts w:ascii="Palatino Linotype" w:hAnsi="Palatino Linotype"/>
          <w:sz w:val="22"/>
          <w:szCs w:val="22"/>
        </w:rPr>
        <w:t xml:space="preserve">more </w:t>
      </w:r>
      <w:r w:rsidR="00787F19" w:rsidRPr="000B3E88">
        <w:rPr>
          <w:rFonts w:ascii="Palatino Linotype" w:hAnsi="Palatino Linotype"/>
          <w:sz w:val="22"/>
          <w:szCs w:val="22"/>
        </w:rPr>
        <w:t xml:space="preserve">engaged alumni </w:t>
      </w:r>
      <w:r w:rsidR="003463F1" w:rsidRPr="000B3E88">
        <w:rPr>
          <w:rFonts w:ascii="Palatino Linotype" w:hAnsi="Palatino Linotype"/>
          <w:sz w:val="22"/>
          <w:szCs w:val="22"/>
        </w:rPr>
        <w:t xml:space="preserve">in a </w:t>
      </w:r>
      <w:r w:rsidR="006F0CBB">
        <w:rPr>
          <w:rFonts w:ascii="Palatino Linotype" w:hAnsi="Palatino Linotype"/>
          <w:sz w:val="22"/>
          <w:szCs w:val="22"/>
        </w:rPr>
        <w:t>stronger</w:t>
      </w:r>
      <w:r w:rsidR="003463F1" w:rsidRPr="000B3E88">
        <w:rPr>
          <w:rFonts w:ascii="Palatino Linotype" w:hAnsi="Palatino Linotype"/>
          <w:sz w:val="22"/>
          <w:szCs w:val="22"/>
        </w:rPr>
        <w:t xml:space="preserve"> financial position</w:t>
      </w:r>
      <w:r w:rsidR="00787F19" w:rsidRPr="000B3E88">
        <w:rPr>
          <w:rFonts w:ascii="Palatino Linotype" w:hAnsi="Palatino Linotype"/>
          <w:sz w:val="22"/>
          <w:szCs w:val="22"/>
        </w:rPr>
        <w:t xml:space="preserve"> to support future initiatives with their alma mater</w:t>
      </w:r>
      <w:r w:rsidR="00680398" w:rsidRPr="000B3E88">
        <w:rPr>
          <w:rFonts w:ascii="Palatino Linotype" w:hAnsi="Palatino Linotype"/>
          <w:sz w:val="22"/>
          <w:szCs w:val="22"/>
        </w:rPr>
        <w:t xml:space="preserve">. </w:t>
      </w:r>
      <w:r w:rsidR="00AB1679">
        <w:rPr>
          <w:rFonts w:ascii="Palatino Linotype" w:hAnsi="Palatino Linotype"/>
          <w:sz w:val="22"/>
          <w:szCs w:val="22"/>
        </w:rPr>
        <w:t xml:space="preserve">To that end, we will </w:t>
      </w:r>
      <w:r w:rsidR="00FD504B">
        <w:rPr>
          <w:rFonts w:ascii="Palatino Linotype" w:hAnsi="Palatino Linotype"/>
          <w:sz w:val="22"/>
          <w:szCs w:val="22"/>
        </w:rPr>
        <w:t xml:space="preserve">implement </w:t>
      </w:r>
      <w:r w:rsidR="00AB1679">
        <w:rPr>
          <w:rFonts w:ascii="Palatino Linotype" w:hAnsi="Palatino Linotype"/>
          <w:sz w:val="22"/>
          <w:szCs w:val="22"/>
        </w:rPr>
        <w:t>a</w:t>
      </w:r>
      <w:r w:rsidR="00AB1679" w:rsidRPr="00AB1679">
        <w:rPr>
          <w:rFonts w:ascii="Palatino Linotype" w:hAnsi="Palatino Linotype"/>
          <w:sz w:val="22"/>
          <w:szCs w:val="22"/>
        </w:rPr>
        <w:t xml:space="preserve"> holistic </w:t>
      </w:r>
      <w:r w:rsidR="00A21510">
        <w:rPr>
          <w:rFonts w:ascii="Palatino Linotype" w:hAnsi="Palatino Linotype"/>
          <w:sz w:val="22"/>
          <w:szCs w:val="22"/>
        </w:rPr>
        <w:t>model</w:t>
      </w:r>
      <w:r w:rsidR="00AB1679" w:rsidRPr="00AB1679">
        <w:rPr>
          <w:rFonts w:ascii="Palatino Linotype" w:hAnsi="Palatino Linotype"/>
          <w:sz w:val="22"/>
          <w:szCs w:val="22"/>
        </w:rPr>
        <w:t xml:space="preserve"> for delivering quality career </w:t>
      </w:r>
      <w:r w:rsidR="00AB1679">
        <w:rPr>
          <w:rFonts w:ascii="Palatino Linotype" w:hAnsi="Palatino Linotype"/>
          <w:sz w:val="22"/>
          <w:szCs w:val="22"/>
        </w:rPr>
        <w:t>preparedness</w:t>
      </w:r>
      <w:r w:rsidR="00AB1679" w:rsidRPr="00AB1679">
        <w:rPr>
          <w:rFonts w:ascii="Palatino Linotype" w:hAnsi="Palatino Linotype"/>
          <w:sz w:val="22"/>
          <w:szCs w:val="22"/>
        </w:rPr>
        <w:t xml:space="preserve"> that prioritizes early engagement, exploration, and in-depth industry knowledge delivered via technology-driven services</w:t>
      </w:r>
      <w:r w:rsidR="00AB1679">
        <w:rPr>
          <w:rFonts w:ascii="Palatino Linotype" w:hAnsi="Palatino Linotype"/>
          <w:sz w:val="22"/>
          <w:szCs w:val="22"/>
        </w:rPr>
        <w:t xml:space="preserve"> with multiple touchpoints</w:t>
      </w:r>
      <w:r w:rsidR="00AB1679" w:rsidRPr="00AB1679">
        <w:rPr>
          <w:rFonts w:ascii="Palatino Linotype" w:hAnsi="Palatino Linotype"/>
          <w:sz w:val="22"/>
          <w:szCs w:val="22"/>
        </w:rPr>
        <w:t xml:space="preserve">. </w:t>
      </w:r>
      <w:r w:rsidR="00052ADB" w:rsidRPr="000B3E88">
        <w:rPr>
          <w:rFonts w:ascii="Palatino Linotype" w:hAnsi="Palatino Linotype"/>
          <w:sz w:val="22"/>
          <w:szCs w:val="22"/>
        </w:rPr>
        <w:t>The goal is to expand upon the newly organized thematic clusters of the Intellectual Foundations Program (IFP)</w:t>
      </w:r>
      <w:r w:rsidR="0027464F">
        <w:rPr>
          <w:rFonts w:ascii="Palatino Linotype" w:hAnsi="Palatino Linotype"/>
          <w:sz w:val="22"/>
          <w:szCs w:val="22"/>
        </w:rPr>
        <w:t xml:space="preserve"> as a stepping stone to accumulate </w:t>
      </w:r>
      <w:r w:rsidR="00FC4485">
        <w:rPr>
          <w:rFonts w:ascii="Palatino Linotype" w:hAnsi="Palatino Linotype"/>
          <w:sz w:val="22"/>
          <w:szCs w:val="22"/>
        </w:rPr>
        <w:t>multiple credentials</w:t>
      </w:r>
      <w:r w:rsidR="003B7401">
        <w:rPr>
          <w:rFonts w:ascii="Palatino Linotype" w:hAnsi="Palatino Linotype"/>
          <w:sz w:val="22"/>
          <w:szCs w:val="22"/>
        </w:rPr>
        <w:t xml:space="preserve"> in parallel to the conventional degree program pathway</w:t>
      </w:r>
      <w:r w:rsidR="00FA4504">
        <w:rPr>
          <w:rFonts w:ascii="Palatino Linotype" w:hAnsi="Palatino Linotype"/>
          <w:sz w:val="22"/>
          <w:szCs w:val="22"/>
        </w:rPr>
        <w:t xml:space="preserve"> </w:t>
      </w:r>
      <w:r w:rsidR="00815956">
        <w:rPr>
          <w:rFonts w:ascii="Palatino Linotype" w:hAnsi="Palatino Linotype"/>
          <w:sz w:val="22"/>
          <w:szCs w:val="22"/>
        </w:rPr>
        <w:t xml:space="preserve">by </w:t>
      </w:r>
      <w:r w:rsidR="00EC5834">
        <w:rPr>
          <w:rFonts w:ascii="Palatino Linotype" w:hAnsi="Palatino Linotype"/>
          <w:sz w:val="22"/>
          <w:szCs w:val="22"/>
        </w:rPr>
        <w:t>engaging</w:t>
      </w:r>
      <w:r w:rsidR="00815956">
        <w:rPr>
          <w:rFonts w:ascii="Palatino Linotype" w:hAnsi="Palatino Linotype"/>
          <w:sz w:val="22"/>
          <w:szCs w:val="22"/>
        </w:rPr>
        <w:t xml:space="preserve"> in </w:t>
      </w:r>
      <w:r w:rsidR="006F0CBB">
        <w:rPr>
          <w:rFonts w:ascii="Palatino Linotype" w:hAnsi="Palatino Linotype"/>
          <w:sz w:val="22"/>
          <w:szCs w:val="22"/>
        </w:rPr>
        <w:t xml:space="preserve">the following </w:t>
      </w:r>
      <w:r w:rsidR="00FD504B">
        <w:rPr>
          <w:rFonts w:ascii="Palatino Linotype" w:hAnsi="Palatino Linotype"/>
          <w:sz w:val="22"/>
          <w:szCs w:val="22"/>
        </w:rPr>
        <w:t>evidence-based</w:t>
      </w:r>
      <w:r w:rsidR="00815956">
        <w:rPr>
          <w:rFonts w:ascii="Palatino Linotype" w:hAnsi="Palatino Linotype"/>
          <w:sz w:val="22"/>
          <w:szCs w:val="22"/>
        </w:rPr>
        <w:t xml:space="preserve"> high impact practices</w:t>
      </w:r>
      <w:r w:rsidR="006F0CBB">
        <w:rPr>
          <w:rFonts w:ascii="Palatino Linotype" w:hAnsi="Palatino Linotype"/>
          <w:sz w:val="22"/>
          <w:szCs w:val="22"/>
        </w:rPr>
        <w:t>:</w:t>
      </w:r>
    </w:p>
    <w:p w14:paraId="199EB9AA" w14:textId="77777777" w:rsidR="009E4553" w:rsidRPr="000B3E88" w:rsidRDefault="009E4553" w:rsidP="002C4CFA">
      <w:pPr>
        <w:rPr>
          <w:rFonts w:ascii="Palatino Linotype" w:hAnsi="Palatino Linotype"/>
          <w:sz w:val="22"/>
          <w:szCs w:val="22"/>
        </w:rPr>
      </w:pPr>
    </w:p>
    <w:p w14:paraId="76732C22" w14:textId="5C94FCEC" w:rsidR="00FD504B" w:rsidRDefault="00A458D8" w:rsidP="00FD504B">
      <w:pPr>
        <w:pStyle w:val="ListParagraph"/>
        <w:numPr>
          <w:ilvl w:val="0"/>
          <w:numId w:val="4"/>
        </w:numPr>
        <w:ind w:left="360"/>
        <w:rPr>
          <w:rFonts w:ascii="Palatino Linotype" w:hAnsi="Palatino Linotype"/>
          <w:sz w:val="22"/>
          <w:szCs w:val="22"/>
        </w:rPr>
      </w:pPr>
      <w:r w:rsidRPr="00A458D8">
        <w:rPr>
          <w:rFonts w:ascii="Palatino Linotype" w:hAnsi="Palatino Linotype"/>
          <w:b/>
          <w:bCs/>
          <w:sz w:val="22"/>
          <w:szCs w:val="22"/>
        </w:rPr>
        <w:t xml:space="preserve">Curricular </w:t>
      </w:r>
      <w:r w:rsidR="000A0199" w:rsidRPr="00A458D8">
        <w:rPr>
          <w:rFonts w:ascii="Palatino Linotype" w:hAnsi="Palatino Linotype"/>
          <w:b/>
          <w:bCs/>
          <w:sz w:val="22"/>
          <w:szCs w:val="22"/>
        </w:rPr>
        <w:t>framework</w:t>
      </w:r>
      <w:r>
        <w:rPr>
          <w:rFonts w:ascii="Palatino Linotype" w:hAnsi="Palatino Linotype"/>
          <w:b/>
          <w:bCs/>
          <w:sz w:val="22"/>
          <w:szCs w:val="22"/>
        </w:rPr>
        <w:t>.</w:t>
      </w:r>
      <w:r w:rsidR="000A0199" w:rsidRPr="00FD504B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</w:t>
      </w:r>
      <w:r w:rsidR="000A0199" w:rsidRPr="00FD504B">
        <w:rPr>
          <w:rFonts w:ascii="Palatino Linotype" w:hAnsi="Palatino Linotype"/>
          <w:sz w:val="22"/>
          <w:szCs w:val="22"/>
        </w:rPr>
        <w:t xml:space="preserve">he proposed QEP </w:t>
      </w:r>
      <w:r>
        <w:rPr>
          <w:rFonts w:ascii="Palatino Linotype" w:hAnsi="Palatino Linotype"/>
          <w:sz w:val="22"/>
          <w:szCs w:val="22"/>
        </w:rPr>
        <w:t>will</w:t>
      </w:r>
      <w:r w:rsidR="000A0199" w:rsidRPr="00FD504B">
        <w:rPr>
          <w:rFonts w:ascii="Palatino Linotype" w:hAnsi="Palatino Linotype"/>
          <w:sz w:val="22"/>
          <w:szCs w:val="22"/>
        </w:rPr>
        <w:t xml:space="preserve"> create </w:t>
      </w:r>
      <w:r w:rsidR="006F0CBB">
        <w:rPr>
          <w:rFonts w:ascii="Palatino Linotype" w:hAnsi="Palatino Linotype"/>
          <w:sz w:val="22"/>
          <w:szCs w:val="22"/>
        </w:rPr>
        <w:t>multi-semester, 1st</w:t>
      </w:r>
      <w:r w:rsidR="006F0CBB" w:rsidRPr="000B3E88">
        <w:rPr>
          <w:rFonts w:ascii="Palatino Linotype" w:hAnsi="Palatino Linotype"/>
          <w:sz w:val="22"/>
          <w:szCs w:val="22"/>
        </w:rPr>
        <w:t xml:space="preserve">-year </w:t>
      </w:r>
      <w:r w:rsidR="006F0CBB">
        <w:rPr>
          <w:rFonts w:ascii="Palatino Linotype" w:hAnsi="Palatino Linotype"/>
          <w:sz w:val="22"/>
          <w:szCs w:val="22"/>
        </w:rPr>
        <w:t xml:space="preserve">cornerstone </w:t>
      </w:r>
      <w:r w:rsidR="006F0CBB" w:rsidRPr="000B3E88">
        <w:rPr>
          <w:rFonts w:ascii="Palatino Linotype" w:hAnsi="Palatino Linotype"/>
          <w:sz w:val="22"/>
          <w:szCs w:val="22"/>
        </w:rPr>
        <w:t>experience</w:t>
      </w:r>
      <w:r w:rsidR="006F0CBB">
        <w:rPr>
          <w:rFonts w:ascii="Palatino Linotype" w:hAnsi="Palatino Linotype"/>
          <w:sz w:val="22"/>
          <w:szCs w:val="22"/>
        </w:rPr>
        <w:t>s</w:t>
      </w:r>
      <w:r w:rsidR="006F0CBB" w:rsidRPr="000B3E88">
        <w:rPr>
          <w:rFonts w:ascii="Palatino Linotype" w:hAnsi="Palatino Linotype"/>
          <w:sz w:val="22"/>
          <w:szCs w:val="22"/>
        </w:rPr>
        <w:t xml:space="preserve"> that emphasi</w:t>
      </w:r>
      <w:r w:rsidR="006F0CBB">
        <w:rPr>
          <w:rFonts w:ascii="Palatino Linotype" w:hAnsi="Palatino Linotype"/>
          <w:sz w:val="22"/>
          <w:szCs w:val="22"/>
        </w:rPr>
        <w:t>ze</w:t>
      </w:r>
      <w:r w:rsidR="006F0CBB" w:rsidRPr="000B3E88">
        <w:rPr>
          <w:rFonts w:ascii="Palatino Linotype" w:hAnsi="Palatino Linotype"/>
          <w:sz w:val="22"/>
          <w:szCs w:val="22"/>
        </w:rPr>
        <w:t xml:space="preserve"> </w:t>
      </w:r>
      <w:r w:rsidR="006F0CBB">
        <w:rPr>
          <w:rFonts w:ascii="Palatino Linotype" w:hAnsi="Palatino Linotype"/>
          <w:sz w:val="22"/>
          <w:szCs w:val="22"/>
        </w:rPr>
        <w:t>career</w:t>
      </w:r>
      <w:r w:rsidR="006F0CBB" w:rsidRPr="000B3E88">
        <w:rPr>
          <w:rFonts w:ascii="Palatino Linotype" w:hAnsi="Palatino Linotype"/>
          <w:sz w:val="22"/>
          <w:szCs w:val="22"/>
        </w:rPr>
        <w:t xml:space="preserve"> preparedness</w:t>
      </w:r>
      <w:r w:rsidR="006F0CBB">
        <w:rPr>
          <w:rFonts w:ascii="Palatino Linotype" w:hAnsi="Palatino Linotype"/>
          <w:sz w:val="22"/>
          <w:szCs w:val="22"/>
        </w:rPr>
        <w:t xml:space="preserve"> and also create industry-recognized </w:t>
      </w:r>
      <w:r w:rsidR="000A0199" w:rsidRPr="00FD504B">
        <w:rPr>
          <w:rFonts w:ascii="Palatino Linotype" w:hAnsi="Palatino Linotype"/>
          <w:sz w:val="22"/>
          <w:szCs w:val="22"/>
        </w:rPr>
        <w:t xml:space="preserve">micro-credentialing </w:t>
      </w:r>
      <w:r w:rsidR="008A5087" w:rsidRPr="00FD504B">
        <w:rPr>
          <w:rFonts w:ascii="Palatino Linotype" w:hAnsi="Palatino Linotype"/>
          <w:sz w:val="22"/>
          <w:szCs w:val="22"/>
        </w:rPr>
        <w:t xml:space="preserve">pathways that do not interfere </w:t>
      </w:r>
      <w:r w:rsidR="00DF3753" w:rsidRPr="00FD504B">
        <w:rPr>
          <w:rFonts w:ascii="Palatino Linotype" w:hAnsi="Palatino Linotype"/>
          <w:sz w:val="22"/>
          <w:szCs w:val="22"/>
        </w:rPr>
        <w:t>with but instead</w:t>
      </w:r>
      <w:r w:rsidR="008A5087" w:rsidRPr="00FD504B">
        <w:rPr>
          <w:rFonts w:ascii="Palatino Linotype" w:hAnsi="Palatino Linotype"/>
          <w:sz w:val="22"/>
          <w:szCs w:val="22"/>
        </w:rPr>
        <w:t xml:space="preserve"> provide synergistic support for academic programs</w:t>
      </w:r>
      <w:r w:rsidR="00707BFC" w:rsidRPr="00FD504B">
        <w:rPr>
          <w:rFonts w:ascii="Palatino Linotype" w:hAnsi="Palatino Linotype"/>
          <w:sz w:val="22"/>
          <w:szCs w:val="22"/>
        </w:rPr>
        <w:t xml:space="preserve"> by working with faculty </w:t>
      </w:r>
      <w:r>
        <w:rPr>
          <w:rFonts w:ascii="Palatino Linotype" w:hAnsi="Palatino Linotype"/>
          <w:sz w:val="22"/>
          <w:szCs w:val="22"/>
        </w:rPr>
        <w:t xml:space="preserve">liaisons </w:t>
      </w:r>
      <w:r w:rsidR="00707BFC" w:rsidRPr="00FD504B">
        <w:rPr>
          <w:rFonts w:ascii="Palatino Linotype" w:hAnsi="Palatino Linotype"/>
          <w:sz w:val="22"/>
          <w:szCs w:val="22"/>
        </w:rPr>
        <w:t xml:space="preserve">in curriculum mapping and creatively using the </w:t>
      </w:r>
      <w:r w:rsidR="00BF65BB" w:rsidRPr="00FD504B">
        <w:rPr>
          <w:rFonts w:ascii="Palatino Linotype" w:hAnsi="Palatino Linotype"/>
          <w:sz w:val="22"/>
          <w:szCs w:val="22"/>
        </w:rPr>
        <w:t xml:space="preserve">IFP </w:t>
      </w:r>
      <w:r w:rsidR="00874363" w:rsidRPr="00FD504B">
        <w:rPr>
          <w:rFonts w:ascii="Palatino Linotype" w:hAnsi="Palatino Linotype"/>
          <w:sz w:val="22"/>
          <w:szCs w:val="22"/>
        </w:rPr>
        <w:t>thematic clusters</w:t>
      </w:r>
      <w:r w:rsidR="00BF65BB" w:rsidRPr="00FD504B">
        <w:rPr>
          <w:rFonts w:ascii="Palatino Linotype" w:hAnsi="Palatino Linotype"/>
          <w:sz w:val="22"/>
          <w:szCs w:val="22"/>
        </w:rPr>
        <w:t xml:space="preserve"> and technical</w:t>
      </w:r>
      <w:r w:rsidR="00874363" w:rsidRPr="00FD504B">
        <w:rPr>
          <w:rFonts w:ascii="Palatino Linotype" w:hAnsi="Palatino Linotype"/>
          <w:sz w:val="22"/>
          <w:szCs w:val="22"/>
        </w:rPr>
        <w:t>/</w:t>
      </w:r>
      <w:r w:rsidR="00BF65BB" w:rsidRPr="00FD504B">
        <w:rPr>
          <w:rFonts w:ascii="Palatino Linotype" w:hAnsi="Palatino Linotype"/>
          <w:sz w:val="22"/>
          <w:szCs w:val="22"/>
        </w:rPr>
        <w:t>free electives to achieve the QEP goals</w:t>
      </w:r>
      <w:r w:rsidR="00874363" w:rsidRPr="00FD504B">
        <w:rPr>
          <w:rFonts w:ascii="Palatino Linotype" w:hAnsi="Palatino Linotype"/>
          <w:sz w:val="22"/>
          <w:szCs w:val="22"/>
        </w:rPr>
        <w:t xml:space="preserve"> without adding credits to degree programs or lengthening time to graduation</w:t>
      </w:r>
      <w:r w:rsidR="00BF65BB" w:rsidRPr="00FD504B">
        <w:rPr>
          <w:rFonts w:ascii="Palatino Linotype" w:hAnsi="Palatino Linotype"/>
          <w:sz w:val="22"/>
          <w:szCs w:val="22"/>
        </w:rPr>
        <w:t>.</w:t>
      </w:r>
      <w:r w:rsidR="00EC5834" w:rsidRPr="00FD504B">
        <w:rPr>
          <w:rFonts w:ascii="Palatino Linotype" w:hAnsi="Palatino Linotype"/>
          <w:sz w:val="22"/>
          <w:szCs w:val="22"/>
        </w:rPr>
        <w:t xml:space="preserve"> Thus, </w:t>
      </w:r>
      <w:r w:rsidR="000605E1" w:rsidRPr="00FD504B">
        <w:rPr>
          <w:rFonts w:ascii="Palatino Linotype" w:hAnsi="Palatino Linotype"/>
          <w:sz w:val="22"/>
          <w:szCs w:val="22"/>
        </w:rPr>
        <w:t xml:space="preserve">students can build </w:t>
      </w:r>
      <w:r w:rsidR="00EC5834" w:rsidRPr="00FD504B">
        <w:rPr>
          <w:rFonts w:ascii="Palatino Linotype" w:hAnsi="Palatino Linotype"/>
          <w:sz w:val="22"/>
          <w:szCs w:val="22"/>
        </w:rPr>
        <w:t>workforce-centric</w:t>
      </w:r>
      <w:r w:rsidR="000605E1" w:rsidRPr="00FD504B">
        <w:rPr>
          <w:rFonts w:ascii="Palatino Linotype" w:hAnsi="Palatino Linotype"/>
          <w:sz w:val="22"/>
          <w:szCs w:val="22"/>
        </w:rPr>
        <w:t xml:space="preserve"> p</w:t>
      </w:r>
      <w:r w:rsidR="00E91649" w:rsidRPr="00FD504B">
        <w:rPr>
          <w:rFonts w:ascii="Palatino Linotype" w:hAnsi="Palatino Linotype"/>
          <w:sz w:val="22"/>
          <w:szCs w:val="22"/>
        </w:rPr>
        <w:t>ortfolios</w:t>
      </w:r>
      <w:r w:rsidR="00D77E24" w:rsidRPr="00FD504B">
        <w:rPr>
          <w:rFonts w:ascii="Palatino Linotype" w:hAnsi="Palatino Linotype"/>
          <w:sz w:val="22"/>
          <w:szCs w:val="22"/>
        </w:rPr>
        <w:t xml:space="preserve"> by accumulating certificates for example. </w:t>
      </w:r>
    </w:p>
    <w:p w14:paraId="4504757F" w14:textId="52BBCDFC" w:rsidR="00FD504B" w:rsidRDefault="00FD504B" w:rsidP="00FD504B">
      <w:pPr>
        <w:pStyle w:val="ListParagraph"/>
        <w:numPr>
          <w:ilvl w:val="0"/>
          <w:numId w:val="4"/>
        </w:numPr>
        <w:ind w:left="360"/>
        <w:rPr>
          <w:rFonts w:ascii="Palatino Linotype" w:hAnsi="Palatino Linotype"/>
          <w:sz w:val="22"/>
          <w:szCs w:val="22"/>
        </w:rPr>
      </w:pPr>
      <w:r w:rsidRPr="00FD504B">
        <w:rPr>
          <w:rFonts w:ascii="Palatino Linotype" w:hAnsi="Palatino Linotype"/>
          <w:b/>
          <w:bCs/>
          <w:sz w:val="22"/>
          <w:szCs w:val="22"/>
        </w:rPr>
        <w:t>Professional development</w:t>
      </w:r>
      <w:r>
        <w:rPr>
          <w:rFonts w:ascii="Palatino Linotype" w:hAnsi="Palatino Linotype"/>
          <w:sz w:val="22"/>
          <w:szCs w:val="22"/>
        </w:rPr>
        <w:t xml:space="preserve">. </w:t>
      </w:r>
      <w:r w:rsidR="00A458D8">
        <w:rPr>
          <w:rFonts w:ascii="Palatino Linotype" w:hAnsi="Palatino Linotype"/>
          <w:sz w:val="22"/>
          <w:szCs w:val="22"/>
        </w:rPr>
        <w:t>We propose</w:t>
      </w:r>
      <w:r w:rsidR="00BF65BB" w:rsidRPr="00FD504B">
        <w:rPr>
          <w:rFonts w:ascii="Palatino Linotype" w:hAnsi="Palatino Linotype"/>
          <w:sz w:val="22"/>
          <w:szCs w:val="22"/>
        </w:rPr>
        <w:t xml:space="preserve"> to </w:t>
      </w:r>
      <w:r w:rsidR="006F0CBB">
        <w:rPr>
          <w:rFonts w:ascii="Palatino Linotype" w:hAnsi="Palatino Linotype"/>
          <w:sz w:val="22"/>
          <w:szCs w:val="22"/>
        </w:rPr>
        <w:t>institute</w:t>
      </w:r>
      <w:r w:rsidR="00982DE2" w:rsidRPr="00FD504B">
        <w:rPr>
          <w:rFonts w:ascii="Palatino Linotype" w:hAnsi="Palatino Linotype"/>
          <w:sz w:val="22"/>
          <w:szCs w:val="22"/>
        </w:rPr>
        <w:t xml:space="preserve"> faculty learning communities to share best practices in various and related disciplines</w:t>
      </w:r>
      <w:r w:rsidR="002D10C8" w:rsidRPr="00FD504B">
        <w:rPr>
          <w:rFonts w:ascii="Palatino Linotype" w:hAnsi="Palatino Linotype"/>
          <w:sz w:val="22"/>
          <w:szCs w:val="22"/>
        </w:rPr>
        <w:t xml:space="preserve"> as well as partner with industry when relevant</w:t>
      </w:r>
      <w:r w:rsidR="00982DE2" w:rsidRPr="00FD504B">
        <w:rPr>
          <w:rFonts w:ascii="Palatino Linotype" w:hAnsi="Palatino Linotype"/>
          <w:sz w:val="22"/>
          <w:szCs w:val="22"/>
        </w:rPr>
        <w:t xml:space="preserve">. </w:t>
      </w:r>
    </w:p>
    <w:p w14:paraId="70FC5D1D" w14:textId="28372200" w:rsidR="00FD504B" w:rsidRDefault="00FD504B" w:rsidP="00FD504B">
      <w:pPr>
        <w:pStyle w:val="ListParagraph"/>
        <w:numPr>
          <w:ilvl w:val="0"/>
          <w:numId w:val="4"/>
        </w:numPr>
        <w:ind w:left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Expansion of </w:t>
      </w:r>
      <w:r w:rsidR="00240AC2" w:rsidRPr="00FD504B">
        <w:rPr>
          <w:rFonts w:ascii="Palatino Linotype" w:hAnsi="Palatino Linotype"/>
          <w:b/>
          <w:bCs/>
          <w:sz w:val="22"/>
          <w:szCs w:val="22"/>
        </w:rPr>
        <w:t>FAU Career Center</w:t>
      </w:r>
      <w:r>
        <w:rPr>
          <w:rFonts w:ascii="Palatino Linotype" w:hAnsi="Palatino Linotype"/>
          <w:sz w:val="22"/>
          <w:szCs w:val="22"/>
        </w:rPr>
        <w:t>.</w:t>
      </w:r>
      <w:r w:rsidR="008F154D" w:rsidRPr="00FD504B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The goal is</w:t>
      </w:r>
      <w:r w:rsidR="00240AC2" w:rsidRPr="00FD504B">
        <w:rPr>
          <w:rFonts w:ascii="Palatino Linotype" w:hAnsi="Palatino Linotype"/>
          <w:sz w:val="22"/>
          <w:szCs w:val="22"/>
        </w:rPr>
        <w:t xml:space="preserve"> to </w:t>
      </w:r>
      <w:r>
        <w:rPr>
          <w:rFonts w:ascii="Palatino Linotype" w:hAnsi="Palatino Linotype"/>
          <w:sz w:val="22"/>
          <w:szCs w:val="22"/>
        </w:rPr>
        <w:t>leverage the existing excellent resources of the FAU Career Center to e</w:t>
      </w:r>
      <w:r w:rsidRPr="00FD504B">
        <w:rPr>
          <w:rFonts w:ascii="Palatino Linotype" w:hAnsi="Palatino Linotype"/>
          <w:sz w:val="22"/>
          <w:szCs w:val="22"/>
        </w:rPr>
        <w:t>nhance career mentoring</w:t>
      </w:r>
      <w:r>
        <w:rPr>
          <w:rFonts w:ascii="Palatino Linotype" w:hAnsi="Palatino Linotype"/>
          <w:sz w:val="22"/>
          <w:szCs w:val="22"/>
        </w:rPr>
        <w:t>,</w:t>
      </w:r>
      <w:r w:rsidRPr="00FD504B">
        <w:rPr>
          <w:rFonts w:ascii="Palatino Linotype" w:hAnsi="Palatino Linotype"/>
          <w:sz w:val="22"/>
          <w:szCs w:val="22"/>
        </w:rPr>
        <w:t xml:space="preserve"> </w:t>
      </w:r>
      <w:r w:rsidR="00240AC2" w:rsidRPr="00FD504B">
        <w:rPr>
          <w:rFonts w:ascii="Palatino Linotype" w:hAnsi="Palatino Linotype"/>
          <w:sz w:val="22"/>
          <w:szCs w:val="22"/>
        </w:rPr>
        <w:t>increase</w:t>
      </w:r>
      <w:r w:rsidR="00D74415" w:rsidRPr="00FD504B">
        <w:rPr>
          <w:rFonts w:ascii="Palatino Linotype" w:hAnsi="Palatino Linotype"/>
          <w:sz w:val="22"/>
          <w:szCs w:val="22"/>
        </w:rPr>
        <w:t xml:space="preserve"> numbers of</w:t>
      </w:r>
      <w:r w:rsidR="002D10C8" w:rsidRPr="00FD504B">
        <w:rPr>
          <w:rFonts w:ascii="Palatino Linotype" w:hAnsi="Palatino Linotype"/>
          <w:sz w:val="22"/>
          <w:szCs w:val="22"/>
        </w:rPr>
        <w:t xml:space="preserve"> students who are career</w:t>
      </w:r>
      <w:r w:rsidR="001F256B" w:rsidRPr="00FD504B">
        <w:rPr>
          <w:rFonts w:ascii="Palatino Linotype" w:hAnsi="Palatino Linotype"/>
          <w:sz w:val="22"/>
          <w:szCs w:val="22"/>
        </w:rPr>
        <w:t>-</w:t>
      </w:r>
      <w:r w:rsidR="002D10C8" w:rsidRPr="00FD504B">
        <w:rPr>
          <w:rFonts w:ascii="Palatino Linotype" w:hAnsi="Palatino Linotype"/>
          <w:sz w:val="22"/>
          <w:szCs w:val="22"/>
        </w:rPr>
        <w:t>ready</w:t>
      </w:r>
      <w:r w:rsidR="001F256B" w:rsidRPr="00FD504B">
        <w:rPr>
          <w:rFonts w:ascii="Palatino Linotype" w:hAnsi="Palatino Linotype"/>
          <w:sz w:val="22"/>
          <w:szCs w:val="22"/>
        </w:rPr>
        <w:t>,</w:t>
      </w:r>
      <w:r w:rsidR="002D10C8" w:rsidRPr="00FD504B">
        <w:rPr>
          <w:rFonts w:ascii="Palatino Linotype" w:hAnsi="Palatino Linotype"/>
          <w:sz w:val="22"/>
          <w:szCs w:val="22"/>
        </w:rPr>
        <w:t xml:space="preserve"> increase the overall number of </w:t>
      </w:r>
      <w:r w:rsidR="00D74415" w:rsidRPr="00FD504B">
        <w:rPr>
          <w:rFonts w:ascii="Palatino Linotype" w:hAnsi="Palatino Linotype"/>
          <w:sz w:val="22"/>
          <w:szCs w:val="22"/>
        </w:rPr>
        <w:t>internships</w:t>
      </w:r>
      <w:r w:rsidR="00FA14FD" w:rsidRPr="00FD504B">
        <w:rPr>
          <w:rFonts w:ascii="Palatino Linotype" w:hAnsi="Palatino Linotype"/>
          <w:sz w:val="22"/>
          <w:szCs w:val="22"/>
        </w:rPr>
        <w:t>/co-ops</w:t>
      </w:r>
      <w:r w:rsidR="00E43112" w:rsidRPr="00FD504B">
        <w:rPr>
          <w:rFonts w:ascii="Palatino Linotype" w:hAnsi="Palatino Linotype"/>
          <w:sz w:val="22"/>
          <w:szCs w:val="22"/>
        </w:rPr>
        <w:t xml:space="preserve">/student </w:t>
      </w:r>
      <w:r w:rsidR="00FD5A4D" w:rsidRPr="00FD504B">
        <w:rPr>
          <w:rFonts w:ascii="Palatino Linotype" w:hAnsi="Palatino Linotype"/>
          <w:sz w:val="22"/>
          <w:szCs w:val="22"/>
        </w:rPr>
        <w:t>employment</w:t>
      </w:r>
      <w:r w:rsidR="001F256B" w:rsidRPr="00FD504B">
        <w:rPr>
          <w:rFonts w:ascii="Palatino Linotype" w:hAnsi="Palatino Linotype"/>
          <w:sz w:val="22"/>
          <w:szCs w:val="22"/>
        </w:rPr>
        <w:t>,</w:t>
      </w:r>
      <w:r w:rsidR="0086068E" w:rsidRPr="00FD504B">
        <w:rPr>
          <w:rFonts w:ascii="Palatino Linotype" w:hAnsi="Palatino Linotype"/>
          <w:sz w:val="22"/>
          <w:szCs w:val="22"/>
        </w:rPr>
        <w:t xml:space="preserve"> and </w:t>
      </w:r>
      <w:r w:rsidR="0077028B" w:rsidRPr="00FD504B">
        <w:rPr>
          <w:rFonts w:ascii="Palatino Linotype" w:hAnsi="Palatino Linotype"/>
          <w:sz w:val="22"/>
          <w:szCs w:val="22"/>
        </w:rPr>
        <w:t xml:space="preserve">improve </w:t>
      </w:r>
      <w:r w:rsidR="0086068E" w:rsidRPr="00FD504B">
        <w:rPr>
          <w:rFonts w:ascii="Palatino Linotype" w:hAnsi="Palatino Linotype"/>
          <w:sz w:val="22"/>
          <w:szCs w:val="22"/>
        </w:rPr>
        <w:t xml:space="preserve">assessment of those experiences. </w:t>
      </w:r>
    </w:p>
    <w:p w14:paraId="67353760" w14:textId="63BAF7A3" w:rsidR="00EF7969" w:rsidRPr="00FD504B" w:rsidRDefault="00FD504B" w:rsidP="00FD504B">
      <w:pPr>
        <w:pStyle w:val="ListParagraph"/>
        <w:numPr>
          <w:ilvl w:val="0"/>
          <w:numId w:val="4"/>
        </w:numPr>
        <w:ind w:left="360"/>
        <w:rPr>
          <w:rFonts w:ascii="Palatino Linotype" w:hAnsi="Palatino Linotype"/>
          <w:sz w:val="22"/>
          <w:szCs w:val="22"/>
        </w:rPr>
      </w:pPr>
      <w:r w:rsidRPr="00FD504B">
        <w:rPr>
          <w:rFonts w:ascii="Palatino Linotype" w:hAnsi="Palatino Linotype"/>
          <w:b/>
          <w:bCs/>
          <w:sz w:val="22"/>
          <w:szCs w:val="22"/>
        </w:rPr>
        <w:t>Community engagement</w:t>
      </w:r>
      <w:r>
        <w:rPr>
          <w:rFonts w:ascii="Palatino Linotype" w:hAnsi="Palatino Linotype"/>
          <w:sz w:val="22"/>
          <w:szCs w:val="22"/>
        </w:rPr>
        <w:t>. We propose to c</w:t>
      </w:r>
      <w:r w:rsidR="00CB2C2B" w:rsidRPr="00FD504B">
        <w:rPr>
          <w:rFonts w:ascii="Palatino Linotype" w:hAnsi="Palatino Linotype"/>
          <w:sz w:val="22"/>
          <w:szCs w:val="22"/>
        </w:rPr>
        <w:t>reat</w:t>
      </w:r>
      <w:r>
        <w:rPr>
          <w:rFonts w:ascii="Palatino Linotype" w:hAnsi="Palatino Linotype"/>
          <w:sz w:val="22"/>
          <w:szCs w:val="22"/>
        </w:rPr>
        <w:t>e</w:t>
      </w:r>
      <w:r w:rsidR="00CB2C2B" w:rsidRPr="00FD504B">
        <w:rPr>
          <w:rFonts w:ascii="Palatino Linotype" w:hAnsi="Palatino Linotype"/>
          <w:sz w:val="22"/>
          <w:szCs w:val="22"/>
        </w:rPr>
        <w:t xml:space="preserve"> a pool of diverse a</w:t>
      </w:r>
      <w:r w:rsidR="00E4213C" w:rsidRPr="00FD504B">
        <w:rPr>
          <w:rFonts w:ascii="Palatino Linotype" w:hAnsi="Palatino Linotype"/>
          <w:sz w:val="22"/>
          <w:szCs w:val="22"/>
        </w:rPr>
        <w:t>lumni and community leaders</w:t>
      </w:r>
      <w:r w:rsidR="002D10C8" w:rsidRPr="00FD504B">
        <w:rPr>
          <w:rFonts w:ascii="Palatino Linotype" w:hAnsi="Palatino Linotype"/>
          <w:sz w:val="22"/>
          <w:szCs w:val="22"/>
        </w:rPr>
        <w:t>/employers</w:t>
      </w:r>
      <w:r w:rsidR="00E4213C" w:rsidRPr="00FD504B">
        <w:rPr>
          <w:rFonts w:ascii="Palatino Linotype" w:hAnsi="Palatino Linotype"/>
          <w:sz w:val="22"/>
          <w:szCs w:val="22"/>
        </w:rPr>
        <w:t xml:space="preserve"> that can give gu</w:t>
      </w:r>
      <w:r w:rsidR="00C53C72" w:rsidRPr="00FD504B">
        <w:rPr>
          <w:rFonts w:ascii="Palatino Linotype" w:hAnsi="Palatino Linotype"/>
          <w:sz w:val="22"/>
          <w:szCs w:val="22"/>
        </w:rPr>
        <w:t>est lectures</w:t>
      </w:r>
      <w:r>
        <w:rPr>
          <w:rFonts w:ascii="Palatino Linotype" w:hAnsi="Palatino Linotype"/>
          <w:sz w:val="22"/>
          <w:szCs w:val="22"/>
        </w:rPr>
        <w:t xml:space="preserve"> or serve as project mentors to</w:t>
      </w:r>
      <w:r w:rsidR="00C53C72" w:rsidRPr="00FD504B">
        <w:rPr>
          <w:rFonts w:ascii="Palatino Linotype" w:hAnsi="Palatino Linotype"/>
          <w:sz w:val="22"/>
          <w:szCs w:val="22"/>
        </w:rPr>
        <w:t xml:space="preserve"> show students (and faculty) of diverse backgrounds what employers </w:t>
      </w:r>
      <w:r w:rsidR="00F80B7A" w:rsidRPr="00FD504B">
        <w:rPr>
          <w:rFonts w:ascii="Palatino Linotype" w:hAnsi="Palatino Linotype"/>
          <w:sz w:val="22"/>
          <w:szCs w:val="22"/>
        </w:rPr>
        <w:t xml:space="preserve">who look like them </w:t>
      </w:r>
      <w:r w:rsidR="00C53C72" w:rsidRPr="00FD504B">
        <w:rPr>
          <w:rFonts w:ascii="Palatino Linotype" w:hAnsi="Palatino Linotype"/>
          <w:sz w:val="22"/>
          <w:szCs w:val="22"/>
        </w:rPr>
        <w:t>are looking for</w:t>
      </w:r>
      <w:r w:rsidR="00F80B7A" w:rsidRPr="00FD504B">
        <w:rPr>
          <w:rFonts w:ascii="Palatino Linotype" w:hAnsi="Palatino Linotype"/>
          <w:sz w:val="22"/>
          <w:szCs w:val="22"/>
        </w:rPr>
        <w:t xml:space="preserve"> in future hires</w:t>
      </w:r>
      <w:r w:rsidR="00C53C72" w:rsidRPr="00FD504B">
        <w:rPr>
          <w:rFonts w:ascii="Palatino Linotype" w:hAnsi="Palatino Linotype"/>
          <w:sz w:val="22"/>
          <w:szCs w:val="22"/>
        </w:rPr>
        <w:t>.</w:t>
      </w:r>
      <w:r w:rsidR="00014485" w:rsidRPr="00FD504B">
        <w:rPr>
          <w:rFonts w:ascii="Palatino Linotype" w:hAnsi="Palatino Linotype"/>
          <w:sz w:val="22"/>
          <w:szCs w:val="22"/>
        </w:rPr>
        <w:t xml:space="preserve"> This final pillar will </w:t>
      </w:r>
      <w:r w:rsidR="008D5609" w:rsidRPr="00FD504B">
        <w:rPr>
          <w:rFonts w:ascii="Palatino Linotype" w:hAnsi="Palatino Linotype"/>
          <w:sz w:val="22"/>
          <w:szCs w:val="22"/>
        </w:rPr>
        <w:t>solidify</w:t>
      </w:r>
      <w:r w:rsidR="00014485" w:rsidRPr="00FD504B">
        <w:rPr>
          <w:rFonts w:ascii="Palatino Linotype" w:hAnsi="Palatino Linotype"/>
          <w:sz w:val="22"/>
          <w:szCs w:val="22"/>
        </w:rPr>
        <w:t xml:space="preserve"> community engagement partnerships </w:t>
      </w:r>
      <w:r w:rsidR="00C260EB" w:rsidRPr="00FD504B">
        <w:rPr>
          <w:rFonts w:ascii="Palatino Linotype" w:hAnsi="Palatino Linotype"/>
          <w:sz w:val="22"/>
          <w:szCs w:val="22"/>
        </w:rPr>
        <w:t>and strengthen collaboration with employers to develop the innovative workforce of the future that serves the needs of society.</w:t>
      </w:r>
      <w:r w:rsidR="00997938" w:rsidRPr="00FD504B">
        <w:rPr>
          <w:rFonts w:ascii="Palatino Linotype" w:hAnsi="Palatino Linotype"/>
          <w:sz w:val="22"/>
          <w:szCs w:val="22"/>
        </w:rPr>
        <w:t xml:space="preserve"> </w:t>
      </w:r>
    </w:p>
    <w:p w14:paraId="7A22A63F" w14:textId="77777777" w:rsidR="00055C0D" w:rsidRPr="000B3E88" w:rsidRDefault="00055C0D" w:rsidP="002C4CFA">
      <w:pPr>
        <w:rPr>
          <w:rFonts w:ascii="Palatino Linotype" w:hAnsi="Palatino Linotype"/>
          <w:b/>
          <w:bCs/>
          <w:sz w:val="22"/>
          <w:szCs w:val="22"/>
        </w:rPr>
      </w:pPr>
    </w:p>
    <w:p w14:paraId="34A9E4F5" w14:textId="77EBB7E8" w:rsidR="006F0CBB" w:rsidRDefault="0061536B" w:rsidP="006F0CBB">
      <w:pPr>
        <w:rPr>
          <w:rFonts w:ascii="Palatino Linotype" w:hAnsi="Palatino Linotype"/>
          <w:sz w:val="22"/>
          <w:szCs w:val="22"/>
        </w:rPr>
      </w:pPr>
      <w:r w:rsidRPr="000B3E88">
        <w:rPr>
          <w:rFonts w:ascii="Palatino Linotype" w:hAnsi="Palatino Linotype"/>
          <w:b/>
          <w:bCs/>
          <w:sz w:val="22"/>
          <w:szCs w:val="22"/>
        </w:rPr>
        <w:t>Measurement of Success</w:t>
      </w:r>
      <w:r w:rsidRPr="000B3E88">
        <w:rPr>
          <w:rFonts w:ascii="Palatino Linotype" w:hAnsi="Palatino Linotype"/>
          <w:sz w:val="22"/>
          <w:szCs w:val="22"/>
        </w:rPr>
        <w:t xml:space="preserve">: </w:t>
      </w:r>
      <w:r w:rsidR="00A21510">
        <w:rPr>
          <w:rFonts w:ascii="Palatino Linotype" w:hAnsi="Palatino Linotype"/>
          <w:sz w:val="22"/>
          <w:szCs w:val="22"/>
        </w:rPr>
        <w:t>Assessment m</w:t>
      </w:r>
      <w:r w:rsidR="00EF7969" w:rsidRPr="000B3E88">
        <w:rPr>
          <w:rFonts w:ascii="Palatino Linotype" w:hAnsi="Palatino Linotype"/>
          <w:sz w:val="22"/>
          <w:szCs w:val="22"/>
        </w:rPr>
        <w:t xml:space="preserve">onitoring will include numbers of students that complete </w:t>
      </w:r>
      <w:r w:rsidR="00A21510">
        <w:rPr>
          <w:rFonts w:ascii="Palatino Linotype" w:hAnsi="Palatino Linotype"/>
          <w:sz w:val="22"/>
          <w:szCs w:val="22"/>
        </w:rPr>
        <w:t xml:space="preserve">career-readiness coursework and </w:t>
      </w:r>
      <w:r w:rsidR="00EF7969" w:rsidRPr="000B3E88">
        <w:rPr>
          <w:rFonts w:ascii="Palatino Linotype" w:hAnsi="Palatino Linotype"/>
          <w:sz w:val="22"/>
          <w:szCs w:val="22"/>
        </w:rPr>
        <w:t>micro</w:t>
      </w:r>
      <w:r w:rsidR="00357114" w:rsidRPr="000B3E88">
        <w:rPr>
          <w:rFonts w:ascii="Palatino Linotype" w:hAnsi="Palatino Linotype"/>
          <w:sz w:val="22"/>
          <w:szCs w:val="22"/>
        </w:rPr>
        <w:t>-</w:t>
      </w:r>
      <w:r w:rsidR="00EF7969" w:rsidRPr="000B3E88">
        <w:rPr>
          <w:rFonts w:ascii="Palatino Linotype" w:hAnsi="Palatino Linotype"/>
          <w:sz w:val="22"/>
          <w:szCs w:val="22"/>
        </w:rPr>
        <w:t xml:space="preserve">credentialing </w:t>
      </w:r>
      <w:r w:rsidR="00181143" w:rsidRPr="000B3E88">
        <w:rPr>
          <w:rFonts w:ascii="Palatino Linotype" w:hAnsi="Palatino Linotype"/>
          <w:sz w:val="22"/>
          <w:szCs w:val="22"/>
        </w:rPr>
        <w:t>certifications</w:t>
      </w:r>
      <w:r w:rsidR="00A21510">
        <w:rPr>
          <w:rFonts w:ascii="Palatino Linotype" w:hAnsi="Palatino Linotype"/>
          <w:sz w:val="22"/>
          <w:szCs w:val="22"/>
        </w:rPr>
        <w:t>, numbers of faculty</w:t>
      </w:r>
      <w:r w:rsidR="00181143" w:rsidRPr="000B3E88">
        <w:rPr>
          <w:rFonts w:ascii="Palatino Linotype" w:hAnsi="Palatino Linotype"/>
          <w:sz w:val="22"/>
          <w:szCs w:val="22"/>
        </w:rPr>
        <w:t xml:space="preserve"> </w:t>
      </w:r>
      <w:r w:rsidR="00A21510">
        <w:rPr>
          <w:rFonts w:ascii="Palatino Linotype" w:hAnsi="Palatino Linotype"/>
          <w:sz w:val="22"/>
          <w:szCs w:val="22"/>
        </w:rPr>
        <w:t xml:space="preserve">participating in professional development, </w:t>
      </w:r>
      <w:r w:rsidR="00181143" w:rsidRPr="000B3E88">
        <w:rPr>
          <w:rFonts w:ascii="Palatino Linotype" w:hAnsi="Palatino Linotype"/>
          <w:sz w:val="22"/>
          <w:szCs w:val="22"/>
        </w:rPr>
        <w:t>number</w:t>
      </w:r>
      <w:r w:rsidR="00B131C5">
        <w:rPr>
          <w:rFonts w:ascii="Palatino Linotype" w:hAnsi="Palatino Linotype"/>
          <w:sz w:val="22"/>
          <w:szCs w:val="22"/>
        </w:rPr>
        <w:t>s</w:t>
      </w:r>
      <w:r w:rsidR="00181143" w:rsidRPr="000B3E88">
        <w:rPr>
          <w:rFonts w:ascii="Palatino Linotype" w:hAnsi="Palatino Linotype"/>
          <w:sz w:val="22"/>
          <w:szCs w:val="22"/>
        </w:rPr>
        <w:t xml:space="preserve"> of students </w:t>
      </w:r>
      <w:r w:rsidR="00A21510">
        <w:rPr>
          <w:rFonts w:ascii="Palatino Linotype" w:hAnsi="Palatino Linotype"/>
          <w:sz w:val="22"/>
          <w:szCs w:val="22"/>
        </w:rPr>
        <w:t xml:space="preserve">taking advantage of enhanced career services, numbers of alumni/employers engaged with specific classes, and numbers of students </w:t>
      </w:r>
      <w:r w:rsidR="00DA5F2D" w:rsidRPr="000B3E88">
        <w:rPr>
          <w:rFonts w:ascii="Palatino Linotype" w:hAnsi="Palatino Linotype"/>
          <w:sz w:val="22"/>
          <w:szCs w:val="22"/>
        </w:rPr>
        <w:t>able to secure</w:t>
      </w:r>
      <w:r w:rsidR="00181143" w:rsidRPr="000B3E88">
        <w:rPr>
          <w:rFonts w:ascii="Palatino Linotype" w:hAnsi="Palatino Linotype"/>
          <w:sz w:val="22"/>
          <w:szCs w:val="22"/>
        </w:rPr>
        <w:t xml:space="preserve"> </w:t>
      </w:r>
      <w:r w:rsidR="00181143" w:rsidRPr="000B3E88">
        <w:rPr>
          <w:rFonts w:ascii="Palatino Linotype" w:hAnsi="Palatino Linotype"/>
          <w:sz w:val="22"/>
          <w:szCs w:val="22"/>
        </w:rPr>
        <w:lastRenderedPageBreak/>
        <w:t xml:space="preserve">full time employment within 6 months of graduation as well as </w:t>
      </w:r>
      <w:r w:rsidR="0096768D" w:rsidRPr="000B3E88">
        <w:rPr>
          <w:rFonts w:ascii="Palatino Linotype" w:hAnsi="Palatino Linotype"/>
          <w:sz w:val="22"/>
          <w:szCs w:val="22"/>
        </w:rPr>
        <w:t>annual salary as tracked in the FETPIP reports</w:t>
      </w:r>
      <w:r w:rsidR="00DC6CF4" w:rsidRPr="000B3E88">
        <w:rPr>
          <w:rFonts w:ascii="Palatino Linotype" w:hAnsi="Palatino Linotype"/>
          <w:sz w:val="22"/>
          <w:szCs w:val="22"/>
        </w:rPr>
        <w:t>.</w:t>
      </w:r>
      <w:r w:rsidR="00A25A8B" w:rsidRPr="000B3E88">
        <w:rPr>
          <w:rFonts w:ascii="Palatino Linotype" w:hAnsi="Palatino Linotype"/>
          <w:sz w:val="22"/>
          <w:szCs w:val="22"/>
        </w:rPr>
        <w:t xml:space="preserve"> </w:t>
      </w:r>
      <w:r w:rsidR="00716E8A">
        <w:rPr>
          <w:rFonts w:ascii="Palatino Linotype" w:hAnsi="Palatino Linotype"/>
          <w:sz w:val="22"/>
          <w:szCs w:val="22"/>
        </w:rPr>
        <w:t>N</w:t>
      </w:r>
      <w:r w:rsidR="00716E8A" w:rsidRPr="000B3E88">
        <w:rPr>
          <w:rFonts w:ascii="Palatino Linotype" w:hAnsi="Palatino Linotype"/>
          <w:sz w:val="22"/>
          <w:szCs w:val="22"/>
        </w:rPr>
        <w:t>umbers of</w:t>
      </w:r>
      <w:r w:rsidR="00716E8A">
        <w:rPr>
          <w:rFonts w:ascii="Palatino Linotype" w:hAnsi="Palatino Linotype"/>
          <w:sz w:val="22"/>
          <w:szCs w:val="22"/>
        </w:rPr>
        <w:t xml:space="preserve"> </w:t>
      </w:r>
      <w:r w:rsidR="00716E8A" w:rsidRPr="001F256B">
        <w:rPr>
          <w:rFonts w:ascii="Palatino Linotype" w:hAnsi="Palatino Linotype"/>
          <w:sz w:val="22"/>
          <w:szCs w:val="22"/>
        </w:rPr>
        <w:t>students who are career</w:t>
      </w:r>
      <w:r w:rsidR="00716E8A">
        <w:rPr>
          <w:rFonts w:ascii="Palatino Linotype" w:hAnsi="Palatino Linotype"/>
          <w:sz w:val="22"/>
          <w:szCs w:val="22"/>
        </w:rPr>
        <w:t>-</w:t>
      </w:r>
      <w:r w:rsidR="00716E8A" w:rsidRPr="001F256B">
        <w:rPr>
          <w:rFonts w:ascii="Palatino Linotype" w:hAnsi="Palatino Linotype"/>
          <w:sz w:val="22"/>
          <w:szCs w:val="22"/>
        </w:rPr>
        <w:t>ready</w:t>
      </w:r>
      <w:r w:rsidR="00716E8A">
        <w:rPr>
          <w:rFonts w:ascii="Palatino Linotype" w:hAnsi="Palatino Linotype"/>
          <w:sz w:val="22"/>
          <w:szCs w:val="22"/>
        </w:rPr>
        <w:t xml:space="preserve"> and</w:t>
      </w:r>
      <w:r w:rsidR="00716E8A" w:rsidRPr="001F256B">
        <w:rPr>
          <w:rFonts w:ascii="Palatino Linotype" w:hAnsi="Palatino Linotype"/>
          <w:sz w:val="22"/>
          <w:szCs w:val="22"/>
        </w:rPr>
        <w:t xml:space="preserve"> number</w:t>
      </w:r>
      <w:r w:rsidR="00716E8A">
        <w:rPr>
          <w:rFonts w:ascii="Palatino Linotype" w:hAnsi="Palatino Linotype"/>
          <w:sz w:val="22"/>
          <w:szCs w:val="22"/>
        </w:rPr>
        <w:t>s</w:t>
      </w:r>
      <w:r w:rsidR="00716E8A" w:rsidRPr="001F256B">
        <w:rPr>
          <w:rFonts w:ascii="Palatino Linotype" w:hAnsi="Palatino Linotype"/>
          <w:sz w:val="22"/>
          <w:szCs w:val="22"/>
        </w:rPr>
        <w:t xml:space="preserve"> of </w:t>
      </w:r>
      <w:r w:rsidR="00716E8A" w:rsidRPr="000B3E88">
        <w:rPr>
          <w:rFonts w:ascii="Palatino Linotype" w:hAnsi="Palatino Linotype"/>
          <w:sz w:val="22"/>
          <w:szCs w:val="22"/>
        </w:rPr>
        <w:t>internships/co-ops</w:t>
      </w:r>
      <w:r w:rsidR="00716E8A">
        <w:rPr>
          <w:rFonts w:ascii="Palatino Linotype" w:hAnsi="Palatino Linotype"/>
          <w:sz w:val="22"/>
          <w:szCs w:val="22"/>
        </w:rPr>
        <w:t xml:space="preserve">/student employment will be tracked </w:t>
      </w:r>
      <w:proofErr w:type="gramStart"/>
      <w:r w:rsidR="00716E8A">
        <w:rPr>
          <w:rFonts w:ascii="Palatino Linotype" w:hAnsi="Palatino Linotype"/>
          <w:sz w:val="22"/>
          <w:szCs w:val="22"/>
        </w:rPr>
        <w:t xml:space="preserve">with </w:t>
      </w:r>
      <w:r w:rsidR="00716E8A" w:rsidRPr="000B3E88">
        <w:rPr>
          <w:rFonts w:ascii="Palatino Linotype" w:hAnsi="Palatino Linotype"/>
          <w:sz w:val="22"/>
          <w:szCs w:val="22"/>
        </w:rPr>
        <w:t xml:space="preserve"> improve</w:t>
      </w:r>
      <w:r w:rsidR="00716E8A">
        <w:rPr>
          <w:rFonts w:ascii="Palatino Linotype" w:hAnsi="Palatino Linotype"/>
          <w:sz w:val="22"/>
          <w:szCs w:val="22"/>
        </w:rPr>
        <w:t>d</w:t>
      </w:r>
      <w:proofErr w:type="gramEnd"/>
      <w:r w:rsidR="00716E8A" w:rsidRPr="000B3E88">
        <w:rPr>
          <w:rFonts w:ascii="Palatino Linotype" w:hAnsi="Palatino Linotype"/>
          <w:sz w:val="22"/>
          <w:szCs w:val="22"/>
        </w:rPr>
        <w:t xml:space="preserve"> assessment </w:t>
      </w:r>
      <w:r w:rsidR="00716E8A">
        <w:rPr>
          <w:rFonts w:ascii="Palatino Linotype" w:hAnsi="Palatino Linotype"/>
          <w:sz w:val="22"/>
          <w:szCs w:val="22"/>
        </w:rPr>
        <w:t>rubrics that can assist in targeted continuous improvement metrics.</w:t>
      </w:r>
      <w:r w:rsidR="00716E8A" w:rsidRPr="000B3E88">
        <w:rPr>
          <w:rFonts w:ascii="Palatino Linotype" w:hAnsi="Palatino Linotype"/>
          <w:sz w:val="22"/>
          <w:szCs w:val="22"/>
        </w:rPr>
        <w:t xml:space="preserve"> </w:t>
      </w:r>
      <w:r w:rsidR="00A25A8B" w:rsidRPr="000B3E88">
        <w:rPr>
          <w:rFonts w:ascii="Palatino Linotype" w:hAnsi="Palatino Linotype"/>
          <w:sz w:val="22"/>
          <w:szCs w:val="22"/>
        </w:rPr>
        <w:t xml:space="preserve">In addition, the employer surveys of </w:t>
      </w:r>
      <w:r w:rsidR="00C8043B" w:rsidRPr="000B3E88">
        <w:rPr>
          <w:rFonts w:ascii="Palatino Linotype" w:hAnsi="Palatino Linotype"/>
          <w:sz w:val="22"/>
          <w:szCs w:val="22"/>
        </w:rPr>
        <w:t xml:space="preserve">FAU student success in internship, co-op, and part/full-time positions can provide another measure of </w:t>
      </w:r>
      <w:r w:rsidR="00CB39C7" w:rsidRPr="000B3E88">
        <w:rPr>
          <w:rFonts w:ascii="Palatino Linotype" w:hAnsi="Palatino Linotype"/>
          <w:sz w:val="22"/>
          <w:szCs w:val="22"/>
        </w:rPr>
        <w:t>achieving successful outcomes.</w:t>
      </w:r>
      <w:r w:rsidR="00006DC1">
        <w:rPr>
          <w:rFonts w:ascii="Palatino Linotype" w:hAnsi="Palatino Linotype"/>
          <w:sz w:val="22"/>
          <w:szCs w:val="22"/>
        </w:rPr>
        <w:t xml:space="preserve"> </w:t>
      </w:r>
      <w:r w:rsidR="00A458D8" w:rsidRPr="00FD504B">
        <w:rPr>
          <w:rFonts w:ascii="Palatino Linotype" w:hAnsi="Palatino Linotype"/>
          <w:sz w:val="22"/>
          <w:szCs w:val="22"/>
        </w:rPr>
        <w:t xml:space="preserve">Producing employable graduates will also support greater retention, faster degree completion, and </w:t>
      </w:r>
      <w:r w:rsidR="00A458D8">
        <w:rPr>
          <w:rFonts w:ascii="Palatino Linotype" w:hAnsi="Palatino Linotype"/>
          <w:sz w:val="22"/>
          <w:szCs w:val="22"/>
        </w:rPr>
        <w:t>more fruitful</w:t>
      </w:r>
      <w:r w:rsidR="00A458D8" w:rsidRPr="00FD504B">
        <w:rPr>
          <w:rFonts w:ascii="Palatino Linotype" w:hAnsi="Palatino Linotype"/>
          <w:sz w:val="22"/>
          <w:szCs w:val="22"/>
        </w:rPr>
        <w:t xml:space="preserve"> relationships with alumni and industry.</w:t>
      </w:r>
      <w:r w:rsidR="006F0CBB">
        <w:rPr>
          <w:rFonts w:ascii="Palatino Linotype" w:hAnsi="Palatino Linotype"/>
          <w:sz w:val="22"/>
          <w:szCs w:val="22"/>
        </w:rPr>
        <w:t xml:space="preserve"> </w:t>
      </w:r>
    </w:p>
    <w:p w14:paraId="3794A32E" w14:textId="77777777" w:rsidR="006F0CBB" w:rsidRDefault="006F0CBB" w:rsidP="006F0CBB">
      <w:pPr>
        <w:rPr>
          <w:rFonts w:ascii="Palatino Linotype" w:hAnsi="Palatino Linotype"/>
          <w:sz w:val="22"/>
          <w:szCs w:val="22"/>
        </w:rPr>
      </w:pPr>
    </w:p>
    <w:p w14:paraId="2A16438A" w14:textId="6199C1F1" w:rsidR="006909CF" w:rsidRDefault="00A21510" w:rsidP="00006DC1">
      <w:pPr>
        <w:rPr>
          <w:rFonts w:ascii="Palatino Linotype" w:hAnsi="Palatino Linotype"/>
          <w:sz w:val="22"/>
          <w:szCs w:val="22"/>
        </w:rPr>
      </w:pPr>
      <w:r w:rsidRPr="00A21510">
        <w:rPr>
          <w:rFonts w:ascii="Palatino Linotype" w:hAnsi="Palatino Linotype"/>
          <w:b/>
          <w:bCs/>
          <w:sz w:val="22"/>
          <w:szCs w:val="22"/>
        </w:rPr>
        <w:t>Institutional Support</w:t>
      </w:r>
      <w:r>
        <w:rPr>
          <w:rFonts w:ascii="Palatino Linotype" w:hAnsi="Palatino Linotype"/>
          <w:sz w:val="22"/>
          <w:szCs w:val="22"/>
        </w:rPr>
        <w:t xml:space="preserve">: </w:t>
      </w:r>
      <w:r w:rsidR="006F0CBB">
        <w:rPr>
          <w:rFonts w:ascii="Palatino Linotype" w:hAnsi="Palatino Linotype"/>
          <w:sz w:val="22"/>
          <w:szCs w:val="22"/>
        </w:rPr>
        <w:t>The proposed QEP will b</w:t>
      </w:r>
      <w:r w:rsidR="00C223FB">
        <w:rPr>
          <w:rFonts w:ascii="Palatino Linotype" w:hAnsi="Palatino Linotype"/>
          <w:sz w:val="22"/>
          <w:szCs w:val="22"/>
        </w:rPr>
        <w:t>e</w:t>
      </w:r>
      <w:r w:rsidR="006F0CBB">
        <w:rPr>
          <w:rFonts w:ascii="Palatino Linotype" w:hAnsi="Palatino Linotype"/>
          <w:sz w:val="22"/>
          <w:szCs w:val="22"/>
        </w:rPr>
        <w:t xml:space="preserve"> syn</w:t>
      </w:r>
      <w:r w:rsidR="00C223FB">
        <w:rPr>
          <w:rFonts w:ascii="Palatino Linotype" w:hAnsi="Palatino Linotype"/>
          <w:sz w:val="22"/>
          <w:szCs w:val="22"/>
        </w:rPr>
        <w:t>ergistic by l</w:t>
      </w:r>
      <w:r w:rsidR="006F0CBB" w:rsidRPr="006F0CBB">
        <w:rPr>
          <w:rFonts w:ascii="Palatino Linotype" w:hAnsi="Palatino Linotype"/>
          <w:sz w:val="22"/>
          <w:szCs w:val="22"/>
        </w:rPr>
        <w:t>everag</w:t>
      </w:r>
      <w:r w:rsidR="00C223FB">
        <w:rPr>
          <w:rFonts w:ascii="Palatino Linotype" w:hAnsi="Palatino Linotype"/>
          <w:sz w:val="22"/>
          <w:szCs w:val="22"/>
        </w:rPr>
        <w:t>ing</w:t>
      </w:r>
      <w:r w:rsidR="006F0CBB" w:rsidRPr="006F0CBB">
        <w:rPr>
          <w:rFonts w:ascii="Palatino Linotype" w:hAnsi="Palatino Linotype"/>
          <w:sz w:val="22"/>
          <w:szCs w:val="22"/>
        </w:rPr>
        <w:t xml:space="preserve"> curriculum-based and co-curricular high impact practical experiences that build on FAU excellence programs from classroom to community (e.g. undergraduate research, academic service learning, writing across the curriculum, student professional organizations, etc.). </w:t>
      </w:r>
      <w:r w:rsidR="00006DC1" w:rsidRPr="000B3E88">
        <w:rPr>
          <w:rFonts w:ascii="Palatino Linotype" w:hAnsi="Palatino Linotype"/>
          <w:sz w:val="22"/>
          <w:szCs w:val="22"/>
        </w:rPr>
        <w:t xml:space="preserve">This proposal will </w:t>
      </w:r>
      <w:r w:rsidR="00C223FB">
        <w:rPr>
          <w:rFonts w:ascii="Palatino Linotype" w:hAnsi="Palatino Linotype"/>
          <w:sz w:val="22"/>
          <w:szCs w:val="22"/>
        </w:rPr>
        <w:t xml:space="preserve">also </w:t>
      </w:r>
      <w:r w:rsidR="00006DC1" w:rsidRPr="000B3E88">
        <w:rPr>
          <w:rFonts w:ascii="Palatino Linotype" w:hAnsi="Palatino Linotype"/>
          <w:sz w:val="22"/>
          <w:szCs w:val="22"/>
        </w:rPr>
        <w:t xml:space="preserve">have broad-based support because all graduates </w:t>
      </w:r>
      <w:r w:rsidR="000830AA">
        <w:rPr>
          <w:rFonts w:ascii="Palatino Linotype" w:hAnsi="Palatino Linotype"/>
          <w:sz w:val="22"/>
          <w:szCs w:val="22"/>
        </w:rPr>
        <w:t xml:space="preserve">in all colleges </w:t>
      </w:r>
      <w:r w:rsidR="00006DC1" w:rsidRPr="000B3E88">
        <w:rPr>
          <w:rFonts w:ascii="Palatino Linotype" w:hAnsi="Palatino Linotype"/>
          <w:sz w:val="22"/>
          <w:szCs w:val="22"/>
        </w:rPr>
        <w:t xml:space="preserve">share in the desire to achieve high-paying </w:t>
      </w:r>
      <w:r w:rsidR="00006DC1">
        <w:rPr>
          <w:rFonts w:ascii="Palatino Linotype" w:hAnsi="Palatino Linotype"/>
          <w:sz w:val="22"/>
          <w:szCs w:val="22"/>
        </w:rPr>
        <w:t>career</w:t>
      </w:r>
      <w:r w:rsidR="00006DC1" w:rsidRPr="000B3E88">
        <w:rPr>
          <w:rFonts w:ascii="Palatino Linotype" w:hAnsi="Palatino Linotype"/>
          <w:sz w:val="22"/>
          <w:szCs w:val="22"/>
        </w:rPr>
        <w:t xml:space="preserve"> outcomes shortly following commencement</w:t>
      </w:r>
      <w:r w:rsidR="00006DC1">
        <w:rPr>
          <w:rFonts w:ascii="Palatino Linotype" w:hAnsi="Palatino Linotype"/>
          <w:sz w:val="22"/>
          <w:szCs w:val="22"/>
        </w:rPr>
        <w:t>.</w:t>
      </w:r>
      <w:r w:rsidR="003A022E">
        <w:rPr>
          <w:rFonts w:ascii="Palatino Linotype" w:hAnsi="Palatino Linotype"/>
          <w:sz w:val="22"/>
          <w:szCs w:val="22"/>
        </w:rPr>
        <w:t xml:space="preserve"> </w:t>
      </w:r>
      <w:r w:rsidR="00B04B81">
        <w:rPr>
          <w:rFonts w:ascii="Palatino Linotype" w:hAnsi="Palatino Linotype"/>
          <w:sz w:val="22"/>
          <w:szCs w:val="22"/>
        </w:rPr>
        <w:t xml:space="preserve">This topic is also </w:t>
      </w:r>
      <w:r w:rsidR="00716E8A">
        <w:rPr>
          <w:rFonts w:ascii="Palatino Linotype" w:hAnsi="Palatino Linotype"/>
          <w:sz w:val="22"/>
          <w:szCs w:val="22"/>
        </w:rPr>
        <w:t>of</w:t>
      </w:r>
      <w:r w:rsidR="00E3661C">
        <w:rPr>
          <w:rFonts w:ascii="Palatino Linotype" w:hAnsi="Palatino Linotype"/>
          <w:sz w:val="22"/>
          <w:szCs w:val="22"/>
        </w:rPr>
        <w:t xml:space="preserve"> key strategic importance for the Florida Board of Governors metrics</w:t>
      </w:r>
      <w:r w:rsidR="00F429FD">
        <w:rPr>
          <w:rFonts w:ascii="Palatino Linotype" w:hAnsi="Palatino Linotype"/>
          <w:sz w:val="22"/>
          <w:szCs w:val="22"/>
        </w:rPr>
        <w:t>, so it is an institutional priority</w:t>
      </w:r>
      <w:r w:rsidR="00FA4EF5">
        <w:rPr>
          <w:rFonts w:ascii="Palatino Linotype" w:hAnsi="Palatino Linotype"/>
          <w:sz w:val="22"/>
          <w:szCs w:val="22"/>
        </w:rPr>
        <w:t xml:space="preserve"> for all units</w:t>
      </w:r>
      <w:r w:rsidR="00150CBE">
        <w:rPr>
          <w:rStyle w:val="FootnoteReference"/>
          <w:rFonts w:ascii="Palatino Linotype" w:hAnsi="Palatino Linotype"/>
          <w:sz w:val="22"/>
          <w:szCs w:val="22"/>
        </w:rPr>
        <w:footnoteReference w:id="6"/>
      </w:r>
      <w:r w:rsidR="00F429FD">
        <w:rPr>
          <w:rFonts w:ascii="Palatino Linotype" w:hAnsi="Palatino Linotype"/>
          <w:sz w:val="22"/>
          <w:szCs w:val="22"/>
        </w:rPr>
        <w:t>. Finally, u</w:t>
      </w:r>
      <w:r w:rsidR="003A022E">
        <w:rPr>
          <w:rFonts w:ascii="Palatino Linotype" w:hAnsi="Palatino Linotype"/>
          <w:sz w:val="22"/>
          <w:szCs w:val="22"/>
        </w:rPr>
        <w:t xml:space="preserve">nlike the previous </w:t>
      </w:r>
      <w:r w:rsidR="006C5773">
        <w:rPr>
          <w:rFonts w:ascii="Palatino Linotype" w:hAnsi="Palatino Linotype"/>
          <w:sz w:val="22"/>
          <w:szCs w:val="22"/>
        </w:rPr>
        <w:t xml:space="preserve">and </w:t>
      </w:r>
      <w:r w:rsidR="003A022E">
        <w:rPr>
          <w:rFonts w:ascii="Palatino Linotype" w:hAnsi="Palatino Linotype"/>
          <w:sz w:val="22"/>
          <w:szCs w:val="22"/>
        </w:rPr>
        <w:t xml:space="preserve">extremely successful QEP that focused on undergraduates, this proposal takes the next step to involve </w:t>
      </w:r>
      <w:r w:rsidR="00235135">
        <w:rPr>
          <w:rFonts w:ascii="Palatino Linotype" w:hAnsi="Palatino Linotype"/>
          <w:sz w:val="22"/>
          <w:szCs w:val="22"/>
        </w:rPr>
        <w:t xml:space="preserve">students in </w:t>
      </w:r>
      <w:r w:rsidR="00716E8A">
        <w:rPr>
          <w:rFonts w:ascii="Palatino Linotype" w:hAnsi="Palatino Linotype"/>
          <w:sz w:val="22"/>
          <w:szCs w:val="22"/>
        </w:rPr>
        <w:t xml:space="preserve">non-degree seeking and </w:t>
      </w:r>
      <w:r w:rsidR="00235135">
        <w:rPr>
          <w:rFonts w:ascii="Palatino Linotype" w:hAnsi="Palatino Linotype"/>
          <w:sz w:val="22"/>
          <w:szCs w:val="22"/>
        </w:rPr>
        <w:t xml:space="preserve">graduate programs </w:t>
      </w:r>
      <w:r w:rsidR="00AB1679">
        <w:rPr>
          <w:rFonts w:ascii="Palatino Linotype" w:hAnsi="Palatino Linotype"/>
          <w:sz w:val="22"/>
          <w:szCs w:val="22"/>
        </w:rPr>
        <w:t xml:space="preserve">to </w:t>
      </w:r>
      <w:r w:rsidR="00AB1679" w:rsidRPr="00AB1679">
        <w:rPr>
          <w:rFonts w:ascii="Palatino Linotype" w:hAnsi="Palatino Linotype"/>
          <w:sz w:val="22"/>
          <w:szCs w:val="22"/>
        </w:rPr>
        <w:t xml:space="preserve">empower </w:t>
      </w:r>
      <w:r w:rsidR="00AB1679">
        <w:rPr>
          <w:rFonts w:ascii="Palatino Linotype" w:hAnsi="Palatino Linotype"/>
          <w:sz w:val="22"/>
          <w:szCs w:val="22"/>
        </w:rPr>
        <w:t xml:space="preserve">all FAU </w:t>
      </w:r>
      <w:r w:rsidR="00AB1679" w:rsidRPr="00AB1679">
        <w:rPr>
          <w:rFonts w:ascii="Palatino Linotype" w:hAnsi="Palatino Linotype"/>
          <w:sz w:val="22"/>
          <w:szCs w:val="22"/>
        </w:rPr>
        <w:t xml:space="preserve">students to successfully secure employment or entrance into </w:t>
      </w:r>
      <w:r w:rsidR="00AB1679">
        <w:rPr>
          <w:rFonts w:ascii="Palatino Linotype" w:hAnsi="Palatino Linotype"/>
          <w:sz w:val="22"/>
          <w:szCs w:val="22"/>
        </w:rPr>
        <w:t>the</w:t>
      </w:r>
      <w:r w:rsidR="00AB1679" w:rsidRPr="00AB1679">
        <w:rPr>
          <w:rFonts w:ascii="Palatino Linotype" w:hAnsi="Palatino Linotype"/>
          <w:sz w:val="22"/>
          <w:szCs w:val="22"/>
        </w:rPr>
        <w:t xml:space="preserve"> graduate</w:t>
      </w:r>
      <w:r w:rsidR="00AB1679">
        <w:rPr>
          <w:rFonts w:ascii="Palatino Linotype" w:hAnsi="Palatino Linotype"/>
          <w:sz w:val="22"/>
          <w:szCs w:val="22"/>
        </w:rPr>
        <w:t>, post-graduate,</w:t>
      </w:r>
      <w:r w:rsidR="00AB1679" w:rsidRPr="00AB1679">
        <w:rPr>
          <w:rFonts w:ascii="Palatino Linotype" w:hAnsi="Palatino Linotype"/>
          <w:sz w:val="22"/>
          <w:szCs w:val="22"/>
        </w:rPr>
        <w:t xml:space="preserve"> or professional program</w:t>
      </w:r>
      <w:r w:rsidR="00AB1679">
        <w:rPr>
          <w:rFonts w:ascii="Palatino Linotype" w:hAnsi="Palatino Linotype"/>
          <w:sz w:val="22"/>
          <w:szCs w:val="22"/>
        </w:rPr>
        <w:t xml:space="preserve"> of their choice.</w:t>
      </w:r>
    </w:p>
    <w:p w14:paraId="0911E533" w14:textId="0E928FE6" w:rsidR="00657F1C" w:rsidRPr="00505019" w:rsidRDefault="00657F1C" w:rsidP="00006DC1">
      <w:pPr>
        <w:rPr>
          <w:rFonts w:ascii="Palatino Linotype" w:hAnsi="Palatino Linotype"/>
          <w:sz w:val="16"/>
          <w:szCs w:val="16"/>
        </w:rPr>
      </w:pPr>
    </w:p>
    <w:p w14:paraId="04B94DC5" w14:textId="25D63594" w:rsidR="00505019" w:rsidRPr="00B80633" w:rsidRDefault="00505019" w:rsidP="00505019">
      <w:pPr>
        <w:rPr>
          <w:rFonts w:ascii="Palatino Linotype" w:hAnsi="Palatino Linotype"/>
          <w:b/>
          <w:bCs/>
          <w:sz w:val="22"/>
          <w:szCs w:val="22"/>
        </w:rPr>
      </w:pPr>
      <w:r w:rsidRPr="00B80633">
        <w:rPr>
          <w:rFonts w:ascii="Palatino Linotype" w:hAnsi="Palatino Linotype"/>
          <w:b/>
          <w:bCs/>
          <w:sz w:val="22"/>
          <w:szCs w:val="22"/>
        </w:rPr>
        <w:t>Contact</w:t>
      </w:r>
      <w:r w:rsidR="00C223FB">
        <w:rPr>
          <w:rFonts w:ascii="Palatino Linotype" w:hAnsi="Palatino Linotype"/>
          <w:b/>
          <w:bCs/>
          <w:sz w:val="22"/>
          <w:szCs w:val="22"/>
        </w:rPr>
        <w:t>s</w:t>
      </w:r>
      <w:r w:rsidRPr="00B80633">
        <w:rPr>
          <w:rFonts w:ascii="Palatino Linotype" w:hAnsi="Palatino Linotype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4171"/>
      </w:tblGrid>
      <w:tr w:rsidR="00505019" w14:paraId="404B711B" w14:textId="77777777" w:rsidTr="00505019">
        <w:tc>
          <w:tcPr>
            <w:tcW w:w="5755" w:type="dxa"/>
          </w:tcPr>
          <w:p w14:paraId="53E924A1" w14:textId="77777777" w:rsidR="00505019" w:rsidRPr="00505019" w:rsidRDefault="00505019" w:rsidP="00505019">
            <w:pPr>
              <w:rPr>
                <w:rFonts w:ascii="Palatino Linotype" w:hAnsi="Palatino Linotype"/>
                <w:sz w:val="22"/>
                <w:szCs w:val="22"/>
              </w:rPr>
            </w:pPr>
            <w:r w:rsidRPr="00505019">
              <w:rPr>
                <w:rFonts w:ascii="Palatino Linotype" w:hAnsi="Palatino Linotype"/>
                <w:sz w:val="22"/>
                <w:szCs w:val="22"/>
              </w:rPr>
              <w:t>Daniel E. Meeroff, Ph.D., Professor and Associate Chair</w:t>
            </w:r>
          </w:p>
          <w:p w14:paraId="322F18D2" w14:textId="77777777" w:rsidR="00505019" w:rsidRPr="00505019" w:rsidRDefault="00505019" w:rsidP="00505019">
            <w:pPr>
              <w:rPr>
                <w:rFonts w:ascii="Palatino Linotype" w:hAnsi="Palatino Linotype"/>
                <w:sz w:val="22"/>
                <w:szCs w:val="22"/>
              </w:rPr>
            </w:pPr>
            <w:r w:rsidRPr="00505019">
              <w:rPr>
                <w:rFonts w:ascii="Palatino Linotype" w:hAnsi="Palatino Linotype"/>
                <w:sz w:val="22"/>
                <w:szCs w:val="22"/>
              </w:rPr>
              <w:t>Dept. of Civil, Environmental &amp; Geomatics Engineering</w:t>
            </w:r>
          </w:p>
          <w:p w14:paraId="53D7EC15" w14:textId="77777777" w:rsidR="00505019" w:rsidRPr="00505019" w:rsidRDefault="00505019" w:rsidP="00505019">
            <w:pPr>
              <w:rPr>
                <w:rFonts w:ascii="Palatino Linotype" w:hAnsi="Palatino Linotype"/>
                <w:sz w:val="22"/>
                <w:szCs w:val="22"/>
              </w:rPr>
            </w:pPr>
            <w:r w:rsidRPr="00505019">
              <w:rPr>
                <w:rFonts w:ascii="Palatino Linotype" w:hAnsi="Palatino Linotype"/>
                <w:sz w:val="22"/>
                <w:szCs w:val="22"/>
              </w:rPr>
              <w:t>Florida Atlantic University</w:t>
            </w:r>
          </w:p>
          <w:p w14:paraId="1D88B986" w14:textId="77777777" w:rsidR="00505019" w:rsidRPr="00505019" w:rsidRDefault="00505019" w:rsidP="00505019">
            <w:pPr>
              <w:rPr>
                <w:rFonts w:ascii="Palatino Linotype" w:hAnsi="Palatino Linotype"/>
                <w:sz w:val="22"/>
                <w:szCs w:val="22"/>
              </w:rPr>
            </w:pPr>
            <w:r w:rsidRPr="00505019">
              <w:rPr>
                <w:rFonts w:ascii="Palatino Linotype" w:hAnsi="Palatino Linotype"/>
                <w:sz w:val="22"/>
                <w:szCs w:val="22"/>
              </w:rPr>
              <w:t>777 Glades Road, Building 36, Room 206</w:t>
            </w:r>
          </w:p>
          <w:p w14:paraId="2141FFA1" w14:textId="77777777" w:rsidR="00505019" w:rsidRPr="00505019" w:rsidRDefault="00505019" w:rsidP="00505019">
            <w:pPr>
              <w:rPr>
                <w:rFonts w:ascii="Palatino Linotype" w:hAnsi="Palatino Linotype"/>
                <w:sz w:val="22"/>
                <w:szCs w:val="22"/>
              </w:rPr>
            </w:pPr>
            <w:r w:rsidRPr="00505019">
              <w:rPr>
                <w:rFonts w:ascii="Palatino Linotype" w:hAnsi="Palatino Linotype"/>
                <w:sz w:val="22"/>
                <w:szCs w:val="22"/>
              </w:rPr>
              <w:t>Boca Raton, FL 33431-0991</w:t>
            </w:r>
          </w:p>
          <w:p w14:paraId="7BF894EF" w14:textId="77777777" w:rsidR="00505019" w:rsidRPr="00505019" w:rsidRDefault="00505019" w:rsidP="00505019">
            <w:pPr>
              <w:rPr>
                <w:rFonts w:ascii="Palatino Linotype" w:hAnsi="Palatino Linotype"/>
                <w:sz w:val="22"/>
                <w:szCs w:val="22"/>
              </w:rPr>
            </w:pPr>
            <w:r w:rsidRPr="00505019">
              <w:rPr>
                <w:rFonts w:ascii="Palatino Linotype" w:hAnsi="Palatino Linotype"/>
                <w:sz w:val="22"/>
                <w:szCs w:val="22"/>
              </w:rPr>
              <w:t>Email. dmeeroff@fau.edu</w:t>
            </w:r>
          </w:p>
          <w:p w14:paraId="0A767FAD" w14:textId="77777777" w:rsidR="00505019" w:rsidRPr="00505019" w:rsidRDefault="00505019" w:rsidP="00505019">
            <w:pPr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 w:rsidRPr="00505019">
              <w:rPr>
                <w:rFonts w:ascii="Palatino Linotype" w:hAnsi="Palatino Linotype"/>
                <w:sz w:val="22"/>
                <w:szCs w:val="22"/>
              </w:rPr>
              <w:t>Tel.(</w:t>
            </w:r>
            <w:proofErr w:type="gramEnd"/>
            <w:r w:rsidRPr="00505019">
              <w:rPr>
                <w:rFonts w:ascii="Palatino Linotype" w:hAnsi="Palatino Linotype"/>
                <w:sz w:val="22"/>
                <w:szCs w:val="22"/>
              </w:rPr>
              <w:t>561) 297-2658</w:t>
            </w:r>
          </w:p>
        </w:tc>
        <w:tc>
          <w:tcPr>
            <w:tcW w:w="4171" w:type="dxa"/>
          </w:tcPr>
          <w:p w14:paraId="7F0CC438" w14:textId="77777777" w:rsidR="00505019" w:rsidRPr="00505019" w:rsidRDefault="00505019" w:rsidP="00505019">
            <w:pPr>
              <w:rPr>
                <w:rFonts w:ascii="Palatino Linotype" w:hAnsi="Palatino Linotype"/>
                <w:sz w:val="22"/>
                <w:szCs w:val="22"/>
              </w:rPr>
            </w:pPr>
            <w:r w:rsidRPr="00505019">
              <w:rPr>
                <w:rFonts w:ascii="Palatino Linotype" w:hAnsi="Palatino Linotype"/>
                <w:sz w:val="22"/>
                <w:szCs w:val="22"/>
              </w:rPr>
              <w:t>Karen Gough</w:t>
            </w:r>
          </w:p>
          <w:p w14:paraId="27D09746" w14:textId="77777777" w:rsidR="00505019" w:rsidRPr="00505019" w:rsidRDefault="00505019" w:rsidP="00505019">
            <w:pPr>
              <w:rPr>
                <w:rFonts w:ascii="Palatino Linotype" w:hAnsi="Palatino Linotype"/>
                <w:sz w:val="22"/>
                <w:szCs w:val="22"/>
              </w:rPr>
            </w:pPr>
            <w:r w:rsidRPr="00505019">
              <w:rPr>
                <w:rFonts w:ascii="Palatino Linotype" w:hAnsi="Palatino Linotype"/>
                <w:sz w:val="22"/>
                <w:szCs w:val="22"/>
              </w:rPr>
              <w:t>Assistant Vice President, Career Center</w:t>
            </w:r>
          </w:p>
          <w:p w14:paraId="084826E2" w14:textId="77777777" w:rsidR="00505019" w:rsidRPr="00505019" w:rsidRDefault="00505019" w:rsidP="00505019">
            <w:pPr>
              <w:rPr>
                <w:rFonts w:ascii="Palatino Linotype" w:hAnsi="Palatino Linotype"/>
                <w:sz w:val="22"/>
                <w:szCs w:val="22"/>
              </w:rPr>
            </w:pPr>
            <w:r w:rsidRPr="00505019">
              <w:rPr>
                <w:rFonts w:ascii="Palatino Linotype" w:hAnsi="Palatino Linotype"/>
                <w:sz w:val="22"/>
                <w:szCs w:val="22"/>
              </w:rPr>
              <w:t>Florida Atlantic University</w:t>
            </w:r>
          </w:p>
          <w:p w14:paraId="53086665" w14:textId="77777777" w:rsidR="00505019" w:rsidRPr="00505019" w:rsidRDefault="00505019" w:rsidP="00505019">
            <w:pPr>
              <w:rPr>
                <w:rFonts w:ascii="Palatino Linotype" w:hAnsi="Palatino Linotype"/>
                <w:sz w:val="22"/>
                <w:szCs w:val="22"/>
              </w:rPr>
            </w:pPr>
            <w:r w:rsidRPr="00505019">
              <w:rPr>
                <w:rFonts w:ascii="Palatino Linotype" w:hAnsi="Palatino Linotype"/>
                <w:sz w:val="22"/>
                <w:szCs w:val="22"/>
              </w:rPr>
              <w:t>777 Glades Rd, Bldg. SU 80, Rm. 220</w:t>
            </w:r>
          </w:p>
          <w:p w14:paraId="044D16AC" w14:textId="77777777" w:rsidR="00505019" w:rsidRPr="00505019" w:rsidRDefault="00505019" w:rsidP="00505019">
            <w:pPr>
              <w:rPr>
                <w:rFonts w:ascii="Palatino Linotype" w:hAnsi="Palatino Linotype"/>
                <w:sz w:val="22"/>
                <w:szCs w:val="22"/>
              </w:rPr>
            </w:pPr>
            <w:r w:rsidRPr="00505019">
              <w:rPr>
                <w:rFonts w:ascii="Palatino Linotype" w:hAnsi="Palatino Linotype"/>
                <w:sz w:val="22"/>
                <w:szCs w:val="22"/>
              </w:rPr>
              <w:t>Boca Raton, FL 33431-0991</w:t>
            </w:r>
          </w:p>
          <w:p w14:paraId="1C6B8021" w14:textId="77777777" w:rsidR="00505019" w:rsidRPr="00505019" w:rsidRDefault="00505019" w:rsidP="00505019">
            <w:pPr>
              <w:rPr>
                <w:rFonts w:ascii="Palatino Linotype" w:hAnsi="Palatino Linotype"/>
                <w:sz w:val="22"/>
                <w:szCs w:val="22"/>
              </w:rPr>
            </w:pPr>
            <w:r w:rsidRPr="00505019">
              <w:rPr>
                <w:rFonts w:ascii="Palatino Linotype" w:hAnsi="Palatino Linotype"/>
                <w:sz w:val="22"/>
                <w:szCs w:val="22"/>
              </w:rPr>
              <w:t>Email: </w:t>
            </w:r>
            <w:hyperlink r:id="rId11" w:tgtFrame="_blank" w:history="1">
              <w:r w:rsidRPr="00505019">
                <w:rPr>
                  <w:rFonts w:ascii="Palatino Linotype" w:hAnsi="Palatino Linotype"/>
                  <w:sz w:val="22"/>
                  <w:szCs w:val="22"/>
                </w:rPr>
                <w:t>kgough@fau.edu</w:t>
              </w:r>
            </w:hyperlink>
          </w:p>
          <w:p w14:paraId="631F3BF1" w14:textId="77777777" w:rsidR="00505019" w:rsidRPr="00505019" w:rsidRDefault="00505019" w:rsidP="00505019">
            <w:pPr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 w:rsidRPr="00505019">
              <w:rPr>
                <w:rFonts w:ascii="Palatino Linotype" w:hAnsi="Palatino Linotype"/>
                <w:sz w:val="22"/>
                <w:szCs w:val="22"/>
              </w:rPr>
              <w:t>Tel.(</w:t>
            </w:r>
            <w:proofErr w:type="gramEnd"/>
            <w:r w:rsidRPr="00505019">
              <w:rPr>
                <w:rFonts w:ascii="Palatino Linotype" w:hAnsi="Palatino Linotype"/>
                <w:sz w:val="22"/>
                <w:szCs w:val="22"/>
              </w:rPr>
              <w:t>561) 297-3533</w:t>
            </w:r>
          </w:p>
        </w:tc>
      </w:tr>
    </w:tbl>
    <w:p w14:paraId="2E4E32F9" w14:textId="3CC0C5E1" w:rsidR="00716E8A" w:rsidRDefault="00716E8A" w:rsidP="002C4CFA">
      <w:pPr>
        <w:rPr>
          <w:rFonts w:ascii="Palatino Linotype" w:hAnsi="Palatino Linotype"/>
          <w:b/>
          <w:bCs/>
          <w:sz w:val="22"/>
          <w:szCs w:val="22"/>
        </w:rPr>
      </w:pPr>
    </w:p>
    <w:p w14:paraId="4A740CFF" w14:textId="77777777" w:rsidR="00716E8A" w:rsidRDefault="00716E8A" w:rsidP="002C4CFA">
      <w:pPr>
        <w:rPr>
          <w:rFonts w:ascii="Palatino Linotype" w:hAnsi="Palatino Linotype"/>
          <w:b/>
          <w:bCs/>
          <w:sz w:val="22"/>
          <w:szCs w:val="22"/>
        </w:rPr>
      </w:pPr>
    </w:p>
    <w:p w14:paraId="1261DAAE" w14:textId="77777777" w:rsidR="00FD504B" w:rsidRDefault="00FD504B">
      <w:pPr>
        <w:spacing w:after="160" w:line="259" w:lineRule="auto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br w:type="page"/>
      </w:r>
    </w:p>
    <w:p w14:paraId="64A732CE" w14:textId="49385D58" w:rsidR="006909CF" w:rsidRPr="00657F1C" w:rsidRDefault="006909CF" w:rsidP="002C4CFA">
      <w:pPr>
        <w:rPr>
          <w:rFonts w:ascii="Palatino Linotype" w:hAnsi="Palatino Linotype"/>
          <w:b/>
          <w:bCs/>
          <w:sz w:val="22"/>
          <w:szCs w:val="22"/>
        </w:rPr>
      </w:pPr>
      <w:r w:rsidRPr="00657F1C">
        <w:rPr>
          <w:rFonts w:ascii="Palatino Linotype" w:hAnsi="Palatino Linotype"/>
          <w:b/>
          <w:bCs/>
          <w:sz w:val="22"/>
          <w:szCs w:val="22"/>
        </w:rPr>
        <w:lastRenderedPageBreak/>
        <w:t>Appendix</w:t>
      </w:r>
      <w:r w:rsidR="00B80633">
        <w:rPr>
          <w:rFonts w:ascii="Palatino Linotype" w:hAnsi="Palatino Linotype"/>
          <w:b/>
          <w:bCs/>
          <w:sz w:val="22"/>
          <w:szCs w:val="22"/>
        </w:rPr>
        <w:t>:</w:t>
      </w:r>
    </w:p>
    <w:p w14:paraId="0869D6DC" w14:textId="62B221E0" w:rsidR="006909CF" w:rsidRPr="006C5773" w:rsidRDefault="009B4FBD" w:rsidP="002C4CFA">
      <w:pPr>
        <w:rPr>
          <w:rFonts w:ascii="Palatino Linotype" w:hAnsi="Palatino Linotype"/>
          <w:b/>
          <w:bCs/>
          <w:sz w:val="22"/>
          <w:szCs w:val="22"/>
        </w:rPr>
      </w:pPr>
      <w:r w:rsidRPr="006C5773">
        <w:rPr>
          <w:rFonts w:ascii="Palatino Linotype" w:hAnsi="Palatino Linotype"/>
          <w:b/>
          <w:bCs/>
          <w:sz w:val="22"/>
          <w:szCs w:val="22"/>
        </w:rPr>
        <w:t>NACE Competencies</w:t>
      </w:r>
      <w:r w:rsidR="00B44BB2" w:rsidRPr="006C5773">
        <w:rPr>
          <w:rFonts w:ascii="Palatino Linotype" w:hAnsi="Palatino Linotype"/>
          <w:b/>
          <w:bCs/>
          <w:sz w:val="22"/>
          <w:szCs w:val="22"/>
        </w:rPr>
        <w:t xml:space="preserve"> Student Outcomes</w:t>
      </w:r>
      <w:r w:rsidR="006C5773">
        <w:rPr>
          <w:rFonts w:ascii="Palatino Linotype" w:hAnsi="Palatino Linotype"/>
          <w:b/>
          <w:bCs/>
          <w:sz w:val="22"/>
          <w:szCs w:val="22"/>
        </w:rPr>
        <w:t>:</w:t>
      </w:r>
    </w:p>
    <w:p w14:paraId="2C3B7C2C" w14:textId="77777777" w:rsidR="009B4FBD" w:rsidRPr="000B3E88" w:rsidRDefault="009B4FBD" w:rsidP="009B4FBD">
      <w:pPr>
        <w:pStyle w:val="Heading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rFonts w:ascii="Palatino Linotype" w:hAnsi="Palatino Linotype"/>
          <w:b w:val="0"/>
          <w:bCs w:val="0"/>
          <w:color w:val="000000" w:themeColor="text1"/>
          <w:sz w:val="22"/>
          <w:szCs w:val="22"/>
        </w:rPr>
      </w:pPr>
      <w:r w:rsidRPr="000B3E88">
        <w:rPr>
          <w:rFonts w:ascii="Palatino Linotype" w:hAnsi="Palatino Linotype"/>
          <w:b w:val="0"/>
          <w:bCs w:val="0"/>
          <w:color w:val="000000" w:themeColor="text1"/>
          <w:sz w:val="22"/>
          <w:szCs w:val="22"/>
        </w:rPr>
        <w:t xml:space="preserve">Critical Thinking/Problem Solving: Ability to obtain, interpret, and use knowledge, facts, and data to demonstrate originality and sound reasoning to analyze the problem, make decisions, and overcome challenges in developing a workable solution. </w:t>
      </w:r>
    </w:p>
    <w:p w14:paraId="0117730A" w14:textId="77777777" w:rsidR="009B4FBD" w:rsidRPr="000B3E88" w:rsidRDefault="009B4FBD" w:rsidP="009B4FBD">
      <w:pPr>
        <w:numPr>
          <w:ilvl w:val="0"/>
          <w:numId w:val="2"/>
        </w:numPr>
        <w:shd w:val="clear" w:color="auto" w:fill="FEFEFE"/>
        <w:tabs>
          <w:tab w:val="clear" w:pos="720"/>
          <w:tab w:val="num" w:pos="360"/>
        </w:tabs>
        <w:ind w:left="360"/>
        <w:rPr>
          <w:rFonts w:ascii="Palatino Linotype" w:hAnsi="Palatino Linotype"/>
          <w:color w:val="000000" w:themeColor="text1"/>
          <w:sz w:val="22"/>
          <w:szCs w:val="22"/>
        </w:rPr>
      </w:pPr>
      <w:r w:rsidRPr="000B3E88">
        <w:rPr>
          <w:rFonts w:ascii="Palatino Linotype" w:hAnsi="Palatino Linotype"/>
          <w:color w:val="000000" w:themeColor="text1"/>
          <w:sz w:val="22"/>
          <w:szCs w:val="22"/>
        </w:rPr>
        <w:t>Oral/Written Communications: Ability to articulate ideas effectively to different audiences in terms of technical writing and public speaking.</w:t>
      </w:r>
    </w:p>
    <w:p w14:paraId="7BA4EBF2" w14:textId="77777777" w:rsidR="009B4FBD" w:rsidRPr="000B3E88" w:rsidRDefault="009B4FBD" w:rsidP="009B4FBD">
      <w:pPr>
        <w:numPr>
          <w:ilvl w:val="0"/>
          <w:numId w:val="2"/>
        </w:numPr>
        <w:shd w:val="clear" w:color="auto" w:fill="FEFEFE"/>
        <w:tabs>
          <w:tab w:val="clear" w:pos="720"/>
          <w:tab w:val="num" w:pos="360"/>
        </w:tabs>
        <w:ind w:left="360"/>
        <w:rPr>
          <w:rFonts w:ascii="Palatino Linotype" w:hAnsi="Palatino Linotype"/>
          <w:color w:val="000000" w:themeColor="text1"/>
          <w:sz w:val="22"/>
          <w:szCs w:val="22"/>
        </w:rPr>
      </w:pPr>
      <w:r w:rsidRPr="000B3E88">
        <w:rPr>
          <w:rFonts w:ascii="Palatino Linotype" w:hAnsi="Palatino Linotype"/>
          <w:color w:val="000000" w:themeColor="text1"/>
          <w:sz w:val="22"/>
          <w:szCs w:val="22"/>
        </w:rPr>
        <w:t xml:space="preserve">Teamwork/Collaboration: Ability to work effectively in a team environment, managing conflict and building collaborative relationships with colleagues and customers representing diverse cultures, races, ages, genders, religions, lifestyles, and viewpoints. </w:t>
      </w:r>
    </w:p>
    <w:p w14:paraId="00FC8E4B" w14:textId="77777777" w:rsidR="009B4FBD" w:rsidRPr="000B3E88" w:rsidRDefault="009B4FBD" w:rsidP="009B4FBD">
      <w:pPr>
        <w:numPr>
          <w:ilvl w:val="0"/>
          <w:numId w:val="2"/>
        </w:numPr>
        <w:shd w:val="clear" w:color="auto" w:fill="FEFEFE"/>
        <w:tabs>
          <w:tab w:val="clear" w:pos="720"/>
          <w:tab w:val="num" w:pos="360"/>
        </w:tabs>
        <w:ind w:left="360"/>
        <w:rPr>
          <w:rFonts w:ascii="Palatino Linotype" w:hAnsi="Palatino Linotype"/>
          <w:color w:val="000000" w:themeColor="text1"/>
          <w:sz w:val="22"/>
          <w:szCs w:val="22"/>
        </w:rPr>
      </w:pPr>
      <w:r w:rsidRPr="000B3E88">
        <w:rPr>
          <w:rFonts w:ascii="Palatino Linotype" w:hAnsi="Palatino Linotype"/>
          <w:color w:val="000000" w:themeColor="text1"/>
          <w:sz w:val="22"/>
          <w:szCs w:val="22"/>
        </w:rPr>
        <w:t>Digital Technology: Ability to leverage existing digital technologies ethically and efficiently to solve problems, complete tasks, accomplish goals, and seamlessly adapt to new and emerging technologies.</w:t>
      </w:r>
    </w:p>
    <w:p w14:paraId="73EB7722" w14:textId="77777777" w:rsidR="009B4FBD" w:rsidRPr="000B3E88" w:rsidRDefault="009B4FBD" w:rsidP="009B4FBD">
      <w:pPr>
        <w:numPr>
          <w:ilvl w:val="0"/>
          <w:numId w:val="2"/>
        </w:numPr>
        <w:shd w:val="clear" w:color="auto" w:fill="FEFEFE"/>
        <w:tabs>
          <w:tab w:val="clear" w:pos="720"/>
          <w:tab w:val="num" w:pos="360"/>
        </w:tabs>
        <w:ind w:left="360"/>
        <w:rPr>
          <w:rFonts w:ascii="Palatino Linotype" w:hAnsi="Palatino Linotype"/>
          <w:color w:val="000000" w:themeColor="text1"/>
          <w:sz w:val="22"/>
          <w:szCs w:val="22"/>
        </w:rPr>
      </w:pPr>
      <w:r w:rsidRPr="000B3E88">
        <w:rPr>
          <w:rFonts w:ascii="Palatino Linotype" w:hAnsi="Palatino Linotype"/>
          <w:color w:val="000000" w:themeColor="text1"/>
          <w:sz w:val="22"/>
          <w:szCs w:val="22"/>
        </w:rPr>
        <w:t>Leadership: Ability to leverage the strengths of others to achieve common goals, and use interpersonal skills to motivate others, organize, prioritize, and delegate work.</w:t>
      </w:r>
    </w:p>
    <w:p w14:paraId="2B4653C8" w14:textId="77777777" w:rsidR="009B4FBD" w:rsidRPr="000B3E88" w:rsidRDefault="009B4FBD" w:rsidP="009B4FBD">
      <w:pPr>
        <w:numPr>
          <w:ilvl w:val="0"/>
          <w:numId w:val="2"/>
        </w:numPr>
        <w:shd w:val="clear" w:color="auto" w:fill="FEFEFE"/>
        <w:tabs>
          <w:tab w:val="clear" w:pos="720"/>
          <w:tab w:val="num" w:pos="360"/>
        </w:tabs>
        <w:ind w:left="360"/>
        <w:rPr>
          <w:rFonts w:ascii="Palatino Linotype" w:hAnsi="Palatino Linotype"/>
          <w:color w:val="000000" w:themeColor="text1"/>
          <w:sz w:val="22"/>
          <w:szCs w:val="22"/>
        </w:rPr>
      </w:pPr>
      <w:r w:rsidRPr="000B3E88">
        <w:rPr>
          <w:rFonts w:ascii="Palatino Linotype" w:hAnsi="Palatino Linotype"/>
          <w:color w:val="000000" w:themeColor="text1"/>
          <w:sz w:val="22"/>
          <w:szCs w:val="22"/>
        </w:rPr>
        <w:t xml:space="preserve">Professionalism/Work Ethic: Ability to demonstrate personal accountability and effective work habits, e.g., punctuality, working productively with others, and time workload management, and understand the impact of non-verbal communication on professional work image. The individual demonstrates integrity and ethical behavior, acts responsibly with the interests of the larger community in mind, and </w:t>
      </w:r>
      <w:proofErr w:type="gramStart"/>
      <w:r w:rsidRPr="000B3E88">
        <w:rPr>
          <w:rFonts w:ascii="Palatino Linotype" w:hAnsi="Palatino Linotype"/>
          <w:color w:val="000000" w:themeColor="text1"/>
          <w:sz w:val="22"/>
          <w:szCs w:val="22"/>
        </w:rPr>
        <w:t>is able to</w:t>
      </w:r>
      <w:proofErr w:type="gramEnd"/>
      <w:r w:rsidRPr="000B3E88">
        <w:rPr>
          <w:rFonts w:ascii="Palatino Linotype" w:hAnsi="Palatino Linotype"/>
          <w:color w:val="000000" w:themeColor="text1"/>
          <w:sz w:val="22"/>
          <w:szCs w:val="22"/>
        </w:rPr>
        <w:t xml:space="preserve"> learn from mistakes.</w:t>
      </w:r>
    </w:p>
    <w:p w14:paraId="4408EB69" w14:textId="77777777" w:rsidR="009B4FBD" w:rsidRPr="000B3E88" w:rsidRDefault="009B4FBD" w:rsidP="009B4FBD">
      <w:pPr>
        <w:numPr>
          <w:ilvl w:val="0"/>
          <w:numId w:val="2"/>
        </w:numPr>
        <w:shd w:val="clear" w:color="auto" w:fill="FEFEFE"/>
        <w:tabs>
          <w:tab w:val="clear" w:pos="720"/>
          <w:tab w:val="num" w:pos="360"/>
        </w:tabs>
        <w:ind w:left="360"/>
        <w:rPr>
          <w:rFonts w:ascii="Palatino Linotype" w:hAnsi="Palatino Linotype"/>
          <w:color w:val="000000" w:themeColor="text1"/>
          <w:sz w:val="22"/>
          <w:szCs w:val="22"/>
        </w:rPr>
      </w:pPr>
      <w:r w:rsidRPr="000B3E88">
        <w:rPr>
          <w:rFonts w:ascii="Palatino Linotype" w:hAnsi="Palatino Linotype"/>
          <w:color w:val="000000" w:themeColor="text1"/>
          <w:sz w:val="22"/>
          <w:szCs w:val="22"/>
        </w:rPr>
        <w:t xml:space="preserve">Career Management: Ability to identify skills, strengths, knowledge, and experiences relevant to the position desired and career goals necessary for professional growth. </w:t>
      </w:r>
    </w:p>
    <w:p w14:paraId="253BE720" w14:textId="4F0EF34B" w:rsidR="009B4FBD" w:rsidRDefault="009B4FBD" w:rsidP="009B4FBD">
      <w:pPr>
        <w:numPr>
          <w:ilvl w:val="0"/>
          <w:numId w:val="2"/>
        </w:numPr>
        <w:shd w:val="clear" w:color="auto" w:fill="FEFEFE"/>
        <w:tabs>
          <w:tab w:val="clear" w:pos="720"/>
          <w:tab w:val="num" w:pos="360"/>
        </w:tabs>
        <w:ind w:left="360"/>
        <w:rPr>
          <w:rFonts w:ascii="Palatino Linotype" w:hAnsi="Palatino Linotype"/>
          <w:color w:val="000000" w:themeColor="text1"/>
          <w:sz w:val="22"/>
          <w:szCs w:val="22"/>
        </w:rPr>
      </w:pPr>
      <w:r w:rsidRPr="000B3E88">
        <w:rPr>
          <w:rFonts w:ascii="Palatino Linotype" w:hAnsi="Palatino Linotype"/>
          <w:color w:val="000000" w:themeColor="text1"/>
          <w:sz w:val="22"/>
          <w:szCs w:val="22"/>
        </w:rPr>
        <w:t>Global/Intercultural Fluency: Ability to respect diverse cultures, races, ages, genders, sexual orientations, and religions to demonstrate inclusiveness, sensitivity, and respectful interaction with all people of different backgrounds.</w:t>
      </w:r>
    </w:p>
    <w:p w14:paraId="0B9852ED" w14:textId="6DB1F6EE" w:rsidR="00FD504B" w:rsidRDefault="00FD504B" w:rsidP="00FD504B">
      <w:pPr>
        <w:shd w:val="clear" w:color="auto" w:fill="FEFEFE"/>
        <w:rPr>
          <w:rFonts w:ascii="Palatino Linotype" w:hAnsi="Palatino Linotype"/>
          <w:color w:val="000000" w:themeColor="text1"/>
          <w:sz w:val="22"/>
          <w:szCs w:val="22"/>
        </w:rPr>
      </w:pPr>
    </w:p>
    <w:p w14:paraId="5F5B0870" w14:textId="21D2FE85" w:rsidR="00FD504B" w:rsidRPr="00FD504B" w:rsidRDefault="00FD504B" w:rsidP="00FD504B">
      <w:pPr>
        <w:shd w:val="clear" w:color="auto" w:fill="FEFEFE"/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FD504B">
        <w:rPr>
          <w:rFonts w:ascii="Palatino Linotype" w:hAnsi="Palatino Linotype"/>
          <w:b/>
          <w:bCs/>
          <w:color w:val="000000" w:themeColor="text1"/>
          <w:sz w:val="22"/>
          <w:szCs w:val="22"/>
        </w:rPr>
        <w:t xml:space="preserve">List of </w:t>
      </w:r>
      <w:r w:rsidR="00254DA8">
        <w:rPr>
          <w:rFonts w:ascii="Palatino Linotype" w:hAnsi="Palatino Linotype"/>
          <w:b/>
          <w:bCs/>
          <w:color w:val="000000" w:themeColor="text1"/>
          <w:sz w:val="22"/>
          <w:szCs w:val="22"/>
        </w:rPr>
        <w:t xml:space="preserve">proposed </w:t>
      </w:r>
      <w:r w:rsidRPr="00FD504B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implementation projects</w:t>
      </w:r>
      <w:r w:rsidR="006F0CBB">
        <w:rPr>
          <w:rFonts w:ascii="Palatino Linotype" w:hAnsi="Palatino Linotype"/>
          <w:b/>
          <w:bCs/>
          <w:color w:val="000000" w:themeColor="text1"/>
          <w:sz w:val="22"/>
          <w:szCs w:val="22"/>
        </w:rPr>
        <w:t xml:space="preserve"> in more detail</w:t>
      </w:r>
      <w:r w:rsidRPr="00FD504B">
        <w:rPr>
          <w:rFonts w:ascii="Palatino Linotype" w:hAnsi="Palatino Linotype"/>
          <w:color w:val="000000" w:themeColor="text1"/>
          <w:sz w:val="22"/>
          <w:szCs w:val="22"/>
        </w:rPr>
        <w:t>:</w:t>
      </w:r>
    </w:p>
    <w:p w14:paraId="722DB9C3" w14:textId="77777777" w:rsidR="006F0CBB" w:rsidRDefault="006F0CBB" w:rsidP="00FD504B">
      <w:pPr>
        <w:pStyle w:val="ListParagraph"/>
        <w:numPr>
          <w:ilvl w:val="0"/>
          <w:numId w:val="5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Curricular framework</w:t>
      </w:r>
    </w:p>
    <w:p w14:paraId="6EBAC859" w14:textId="51097080" w:rsidR="00FD504B" w:rsidRPr="00AB1679" w:rsidRDefault="00FD504B" w:rsidP="006F0CBB">
      <w:pPr>
        <w:pStyle w:val="ListParagraph"/>
        <w:numPr>
          <w:ilvl w:val="1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</w:t>
      </w:r>
      <w:r w:rsidRPr="000B3E88">
        <w:rPr>
          <w:rFonts w:ascii="Palatino Linotype" w:hAnsi="Palatino Linotype"/>
          <w:sz w:val="22"/>
          <w:szCs w:val="22"/>
        </w:rPr>
        <w:t xml:space="preserve"> supportive </w:t>
      </w:r>
      <w:r>
        <w:rPr>
          <w:rFonts w:ascii="Palatino Linotype" w:hAnsi="Palatino Linotype"/>
          <w:sz w:val="22"/>
          <w:szCs w:val="22"/>
        </w:rPr>
        <w:t>multi-semester 1st</w:t>
      </w:r>
      <w:r w:rsidRPr="000B3E88">
        <w:rPr>
          <w:rFonts w:ascii="Palatino Linotype" w:hAnsi="Palatino Linotype"/>
          <w:sz w:val="22"/>
          <w:szCs w:val="22"/>
        </w:rPr>
        <w:t xml:space="preserve">-year experience that relies on mentoring, advising, curriculum alignment, and emphasis on </w:t>
      </w:r>
      <w:r>
        <w:rPr>
          <w:rFonts w:ascii="Palatino Linotype" w:hAnsi="Palatino Linotype"/>
          <w:sz w:val="22"/>
          <w:szCs w:val="22"/>
        </w:rPr>
        <w:t>career</w:t>
      </w:r>
      <w:r w:rsidRPr="000B3E88">
        <w:rPr>
          <w:rFonts w:ascii="Palatino Linotype" w:hAnsi="Palatino Linotype"/>
          <w:sz w:val="22"/>
          <w:szCs w:val="22"/>
        </w:rPr>
        <w:t xml:space="preserve"> preparedness</w:t>
      </w:r>
      <w:r>
        <w:rPr>
          <w:rFonts w:ascii="Palatino Linotype" w:hAnsi="Palatino Linotype"/>
          <w:sz w:val="22"/>
          <w:szCs w:val="22"/>
        </w:rPr>
        <w:t xml:space="preserve"> with cornerstone coursework (1st-year capstone) </w:t>
      </w:r>
      <w:r w:rsidRPr="00AB1679">
        <w:rPr>
          <w:rFonts w:ascii="Palatino Linotype" w:hAnsi="Palatino Linotype"/>
          <w:sz w:val="22"/>
          <w:szCs w:val="22"/>
        </w:rPr>
        <w:t>such as SLS1301 which has shown to increase a student’s self-efficacy</w:t>
      </w:r>
      <w:r>
        <w:rPr>
          <w:rFonts w:ascii="Palatino Linotype" w:hAnsi="Palatino Linotype"/>
          <w:sz w:val="22"/>
          <w:szCs w:val="22"/>
        </w:rPr>
        <w:t xml:space="preserve"> and learning skills</w:t>
      </w:r>
      <w:r w:rsidRPr="00AB1679">
        <w:rPr>
          <w:rFonts w:ascii="Palatino Linotype" w:hAnsi="Palatino Linotype"/>
          <w:sz w:val="22"/>
          <w:szCs w:val="22"/>
        </w:rPr>
        <w:t xml:space="preserve">. </w:t>
      </w:r>
    </w:p>
    <w:p w14:paraId="0EA50402" w14:textId="77777777" w:rsidR="00FD504B" w:rsidRPr="00505019" w:rsidRDefault="00FD504B" w:rsidP="006F0CBB">
      <w:pPr>
        <w:pStyle w:val="ListParagraph"/>
        <w:numPr>
          <w:ilvl w:val="1"/>
          <w:numId w:val="6"/>
        </w:numPr>
        <w:rPr>
          <w:rFonts w:ascii="Palatino Linotype" w:hAnsi="Palatino Linotype"/>
          <w:sz w:val="22"/>
          <w:szCs w:val="22"/>
        </w:rPr>
      </w:pPr>
      <w:r w:rsidRPr="00505019">
        <w:rPr>
          <w:rFonts w:ascii="Palatino Linotype" w:hAnsi="Palatino Linotype"/>
          <w:sz w:val="22"/>
          <w:szCs w:val="22"/>
        </w:rPr>
        <w:t>Audit all courses to identify those that involve long-term projects as part of the class and work with faculty liaisons selected from across the colleges to create a menu of industry-recognized credentials that students can achieve during the course of their studies at FAU.</w:t>
      </w:r>
    </w:p>
    <w:p w14:paraId="44C39BE1" w14:textId="77777777" w:rsidR="006F0CBB" w:rsidRDefault="006F0CBB" w:rsidP="00FD504B">
      <w:pPr>
        <w:pStyle w:val="ListParagraph"/>
        <w:numPr>
          <w:ilvl w:val="0"/>
          <w:numId w:val="5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Professional development</w:t>
      </w:r>
    </w:p>
    <w:p w14:paraId="6B977600" w14:textId="2E2E641E" w:rsidR="00FD504B" w:rsidRPr="00AB1679" w:rsidRDefault="00FD504B" w:rsidP="006F0CBB">
      <w:pPr>
        <w:pStyle w:val="ListParagraph"/>
        <w:numPr>
          <w:ilvl w:val="1"/>
          <w:numId w:val="7"/>
        </w:numPr>
        <w:rPr>
          <w:rFonts w:ascii="Palatino Linotype" w:hAnsi="Palatino Linotype"/>
          <w:sz w:val="22"/>
          <w:szCs w:val="22"/>
        </w:rPr>
      </w:pPr>
      <w:r w:rsidRPr="00AB1679">
        <w:rPr>
          <w:rFonts w:ascii="Palatino Linotype" w:hAnsi="Palatino Linotype"/>
          <w:sz w:val="22"/>
          <w:szCs w:val="22"/>
        </w:rPr>
        <w:t>Comprehensive faculty and staff professional development that focuses on institutional culture change related to inclusive instruction, student development theory, and equity using a faculty learning community model that engages faculty, adjuncts, industry experts/employers, instructors, and teaching assistants.</w:t>
      </w:r>
    </w:p>
    <w:p w14:paraId="04FAC56C" w14:textId="77777777" w:rsidR="006F0CBB" w:rsidRDefault="006F0CBB" w:rsidP="00FD504B">
      <w:pPr>
        <w:pStyle w:val="ListParagraph"/>
        <w:numPr>
          <w:ilvl w:val="0"/>
          <w:numId w:val="5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FAU Career Center</w:t>
      </w:r>
    </w:p>
    <w:p w14:paraId="2AC6EDB8" w14:textId="77777777" w:rsidR="006F0CBB" w:rsidRDefault="00FD504B" w:rsidP="006F0CBB">
      <w:pPr>
        <w:pStyle w:val="ListParagraph"/>
        <w:numPr>
          <w:ilvl w:val="1"/>
          <w:numId w:val="8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Better student preparation for m</w:t>
      </w:r>
      <w:r w:rsidRPr="000B3E88">
        <w:rPr>
          <w:rFonts w:ascii="Palatino Linotype" w:hAnsi="Palatino Linotype"/>
          <w:sz w:val="22"/>
          <w:szCs w:val="22"/>
        </w:rPr>
        <w:t xml:space="preserve">eaningful </w:t>
      </w:r>
      <w:r>
        <w:rPr>
          <w:rFonts w:ascii="Palatino Linotype" w:hAnsi="Palatino Linotype"/>
          <w:sz w:val="22"/>
          <w:szCs w:val="22"/>
        </w:rPr>
        <w:t xml:space="preserve">internship/co-op experiences through </w:t>
      </w:r>
      <w:r w:rsidRPr="002347E6">
        <w:rPr>
          <w:rFonts w:ascii="Palatino Linotype" w:hAnsi="Palatino Linotype"/>
          <w:sz w:val="22"/>
          <w:szCs w:val="22"/>
        </w:rPr>
        <w:t>case management career advising.</w:t>
      </w:r>
      <w:r w:rsidR="006F0CBB" w:rsidRPr="006F0CBB">
        <w:rPr>
          <w:rFonts w:ascii="Palatino Linotype" w:hAnsi="Palatino Linotype"/>
          <w:sz w:val="22"/>
          <w:szCs w:val="22"/>
        </w:rPr>
        <w:t xml:space="preserve"> </w:t>
      </w:r>
    </w:p>
    <w:p w14:paraId="7CC1B258" w14:textId="06EF70CC" w:rsidR="006F0CBB" w:rsidRPr="00AB1679" w:rsidRDefault="006F0CBB" w:rsidP="006F0CBB">
      <w:pPr>
        <w:pStyle w:val="ListParagraph"/>
        <w:numPr>
          <w:ilvl w:val="1"/>
          <w:numId w:val="8"/>
        </w:numPr>
        <w:rPr>
          <w:rFonts w:ascii="Palatino Linotype" w:hAnsi="Palatino Linotype"/>
          <w:sz w:val="22"/>
          <w:szCs w:val="22"/>
        </w:rPr>
      </w:pPr>
      <w:r w:rsidRPr="00AB1679">
        <w:rPr>
          <w:rFonts w:ascii="Palatino Linotype" w:hAnsi="Palatino Linotype"/>
          <w:sz w:val="22"/>
          <w:szCs w:val="22"/>
        </w:rPr>
        <w:lastRenderedPageBreak/>
        <w:t>Secure and integrate innovati</w:t>
      </w:r>
      <w:r>
        <w:rPr>
          <w:rFonts w:ascii="Palatino Linotype" w:hAnsi="Palatino Linotype"/>
          <w:sz w:val="22"/>
          <w:szCs w:val="22"/>
        </w:rPr>
        <w:t>ve</w:t>
      </w:r>
      <w:r w:rsidRPr="00AB1679">
        <w:rPr>
          <w:rFonts w:ascii="Palatino Linotype" w:hAnsi="Palatino Linotype"/>
          <w:sz w:val="22"/>
          <w:szCs w:val="22"/>
        </w:rPr>
        <w:t xml:space="preserve"> artificial intelligence tools to enhance student career readiness</w:t>
      </w:r>
      <w:r>
        <w:rPr>
          <w:rFonts w:ascii="Palatino Linotype" w:hAnsi="Palatino Linotype"/>
          <w:sz w:val="22"/>
          <w:szCs w:val="22"/>
        </w:rPr>
        <w:t xml:space="preserve"> such as </w:t>
      </w:r>
      <w:r w:rsidRPr="00AB1679">
        <w:rPr>
          <w:rFonts w:ascii="Palatino Linotype" w:hAnsi="Palatino Linotype"/>
          <w:sz w:val="22"/>
          <w:szCs w:val="22"/>
        </w:rPr>
        <w:t>resume/interview skills</w:t>
      </w:r>
      <w:r>
        <w:rPr>
          <w:rFonts w:ascii="Palatino Linotype" w:hAnsi="Palatino Linotype"/>
          <w:sz w:val="22"/>
          <w:szCs w:val="22"/>
        </w:rPr>
        <w:t>, negotiation, conflict resolution, multicultural awareness, etc</w:t>
      </w:r>
      <w:r w:rsidRPr="00AB1679">
        <w:rPr>
          <w:rFonts w:ascii="Palatino Linotype" w:hAnsi="Palatino Linotype"/>
          <w:sz w:val="22"/>
          <w:szCs w:val="22"/>
        </w:rPr>
        <w:t>.</w:t>
      </w:r>
    </w:p>
    <w:p w14:paraId="2C96BD76" w14:textId="7BE999CD" w:rsidR="00FD504B" w:rsidRPr="006F0CBB" w:rsidRDefault="006F0CBB" w:rsidP="006F0CBB">
      <w:pPr>
        <w:pStyle w:val="ListParagraph"/>
        <w:numPr>
          <w:ilvl w:val="1"/>
          <w:numId w:val="8"/>
        </w:numPr>
        <w:rPr>
          <w:rFonts w:ascii="Palatino Linotype" w:hAnsi="Palatino Linotype"/>
          <w:sz w:val="22"/>
          <w:szCs w:val="22"/>
        </w:rPr>
      </w:pPr>
      <w:r w:rsidRPr="00AB1679">
        <w:rPr>
          <w:rFonts w:ascii="Palatino Linotype" w:hAnsi="Palatino Linotype"/>
          <w:sz w:val="22"/>
          <w:szCs w:val="22"/>
        </w:rPr>
        <w:t xml:space="preserve">Increased opportunities for new students and transfers to build connections with faculty in gateway courses or co-curricular activities such as student organizations. </w:t>
      </w:r>
    </w:p>
    <w:p w14:paraId="319120BE" w14:textId="77777777" w:rsidR="006F0CBB" w:rsidRDefault="006F0CBB" w:rsidP="00FD504B">
      <w:pPr>
        <w:pStyle w:val="ListParagraph"/>
        <w:numPr>
          <w:ilvl w:val="0"/>
          <w:numId w:val="5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Community engagement</w:t>
      </w:r>
    </w:p>
    <w:p w14:paraId="48F46539" w14:textId="6E6847A3" w:rsidR="00FD504B" w:rsidRPr="00AB1679" w:rsidRDefault="00FD504B" w:rsidP="006F0CBB">
      <w:pPr>
        <w:pStyle w:val="ListParagraph"/>
        <w:numPr>
          <w:ilvl w:val="1"/>
          <w:numId w:val="9"/>
        </w:numPr>
        <w:rPr>
          <w:rFonts w:ascii="Palatino Linotype" w:hAnsi="Palatino Linotype"/>
          <w:sz w:val="22"/>
          <w:szCs w:val="22"/>
        </w:rPr>
      </w:pPr>
      <w:r w:rsidRPr="00AB1679">
        <w:rPr>
          <w:rFonts w:ascii="Palatino Linotype" w:hAnsi="Palatino Linotype"/>
          <w:sz w:val="22"/>
          <w:szCs w:val="22"/>
        </w:rPr>
        <w:t xml:space="preserve">Create a guest speaker clearinghouse to engage employers and alumni </w:t>
      </w:r>
      <w:r>
        <w:rPr>
          <w:rFonts w:ascii="Palatino Linotype" w:hAnsi="Palatino Linotype"/>
          <w:sz w:val="22"/>
          <w:szCs w:val="22"/>
        </w:rPr>
        <w:t xml:space="preserve">from diverse backgrounds </w:t>
      </w:r>
      <w:r w:rsidRPr="00AB1679">
        <w:rPr>
          <w:rFonts w:ascii="Palatino Linotype" w:hAnsi="Palatino Linotype"/>
          <w:sz w:val="22"/>
          <w:szCs w:val="22"/>
        </w:rPr>
        <w:t xml:space="preserve">to provide meaningful experiences, mentoring connections, and industry knowledge directly into the classroom. </w:t>
      </w:r>
    </w:p>
    <w:p w14:paraId="5471A17A" w14:textId="77777777" w:rsidR="006F0CBB" w:rsidRPr="00AB1679" w:rsidRDefault="006F0CBB" w:rsidP="006F0CBB">
      <w:pPr>
        <w:pStyle w:val="ListParagraph"/>
        <w:numPr>
          <w:ilvl w:val="1"/>
          <w:numId w:val="9"/>
        </w:numPr>
        <w:rPr>
          <w:rFonts w:ascii="Palatino Linotype" w:hAnsi="Palatino Linotype"/>
          <w:sz w:val="22"/>
          <w:szCs w:val="22"/>
        </w:rPr>
      </w:pPr>
      <w:r w:rsidRPr="00AB1679">
        <w:rPr>
          <w:rFonts w:ascii="Palatino Linotype" w:hAnsi="Palatino Linotype"/>
          <w:sz w:val="22"/>
          <w:szCs w:val="22"/>
        </w:rPr>
        <w:t xml:space="preserve">Industry-focused career communities led jointly by career specialists, faculty, and employer engagement professionals from diverse backgrounds. </w:t>
      </w:r>
    </w:p>
    <w:p w14:paraId="5650A445" w14:textId="77777777" w:rsidR="00FD504B" w:rsidRPr="000B3E88" w:rsidRDefault="00FD504B" w:rsidP="00FD504B">
      <w:pPr>
        <w:shd w:val="clear" w:color="auto" w:fill="FEFEFE"/>
        <w:rPr>
          <w:rFonts w:ascii="Palatino Linotype" w:hAnsi="Palatino Linotype"/>
          <w:color w:val="000000" w:themeColor="text1"/>
          <w:sz w:val="22"/>
          <w:szCs w:val="22"/>
        </w:rPr>
      </w:pPr>
    </w:p>
    <w:p w14:paraId="20BDCBAD" w14:textId="77777777" w:rsidR="009B4FBD" w:rsidRPr="000B3E88" w:rsidRDefault="009B4FBD" w:rsidP="002C4CFA">
      <w:pPr>
        <w:rPr>
          <w:rFonts w:ascii="Palatino Linotype" w:hAnsi="Palatino Linotype"/>
          <w:sz w:val="22"/>
          <w:szCs w:val="22"/>
        </w:rPr>
      </w:pPr>
    </w:p>
    <w:sectPr w:rsidR="009B4FBD" w:rsidRPr="000B3E88" w:rsidSect="00EF6AC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2B31F" w14:textId="77777777" w:rsidR="00D70149" w:rsidRDefault="00D70149" w:rsidP="0081418D">
      <w:r>
        <w:separator/>
      </w:r>
    </w:p>
  </w:endnote>
  <w:endnote w:type="continuationSeparator" w:id="0">
    <w:p w14:paraId="62FF8876" w14:textId="77777777" w:rsidR="00D70149" w:rsidRDefault="00D70149" w:rsidP="0081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EE35C" w14:textId="77777777" w:rsidR="00D70149" w:rsidRDefault="00D70149" w:rsidP="0081418D">
      <w:r>
        <w:separator/>
      </w:r>
    </w:p>
  </w:footnote>
  <w:footnote w:type="continuationSeparator" w:id="0">
    <w:p w14:paraId="1950F7FB" w14:textId="77777777" w:rsidR="00D70149" w:rsidRDefault="00D70149" w:rsidP="0081418D">
      <w:r>
        <w:continuationSeparator/>
      </w:r>
    </w:p>
  </w:footnote>
  <w:footnote w:id="1">
    <w:p w14:paraId="56700DFA" w14:textId="5C046540" w:rsidR="00505019" w:rsidRPr="00505019" w:rsidRDefault="00505019">
      <w:pPr>
        <w:pStyle w:val="FootnoteText"/>
        <w:rPr>
          <w:sz w:val="12"/>
          <w:szCs w:val="12"/>
        </w:rPr>
      </w:pPr>
      <w:r w:rsidRPr="00505019">
        <w:rPr>
          <w:rStyle w:val="FootnoteReference"/>
          <w:sz w:val="12"/>
          <w:szCs w:val="12"/>
        </w:rPr>
        <w:footnoteRef/>
      </w:r>
      <w:r w:rsidRPr="00505019">
        <w:rPr>
          <w:sz w:val="12"/>
          <w:szCs w:val="12"/>
        </w:rPr>
        <w:t xml:space="preserve"> </w:t>
      </w:r>
      <w:r w:rsidRPr="00505019">
        <w:rPr>
          <w:rFonts w:ascii="Arial" w:hAnsi="Arial" w:cs="Arial"/>
          <w:sz w:val="12"/>
          <w:szCs w:val="12"/>
        </w:rPr>
        <w:t xml:space="preserve">The Gallup-Purdue Index (2016) </w:t>
      </w:r>
      <w:hyperlink r:id="rId1" w:history="1">
        <w:r w:rsidRPr="00505019">
          <w:rPr>
            <w:rFonts w:ascii="Arial" w:hAnsi="Arial" w:cs="Arial"/>
            <w:sz w:val="12"/>
            <w:szCs w:val="12"/>
          </w:rPr>
          <w:t>https://www.gallup.com/services/176768/2014-gallup-purdue-index-report.aspx</w:t>
        </w:r>
      </w:hyperlink>
    </w:p>
  </w:footnote>
  <w:footnote w:id="2">
    <w:p w14:paraId="799E5555" w14:textId="0ACF1004" w:rsidR="0081418D" w:rsidRPr="002178D6" w:rsidRDefault="0081418D">
      <w:pPr>
        <w:pStyle w:val="FootnoteText"/>
        <w:rPr>
          <w:rFonts w:ascii="Arial" w:hAnsi="Arial" w:cs="Arial"/>
          <w:sz w:val="12"/>
          <w:szCs w:val="12"/>
        </w:rPr>
      </w:pPr>
      <w:r w:rsidRPr="002178D6">
        <w:rPr>
          <w:rStyle w:val="FootnoteReference"/>
          <w:rFonts w:ascii="Arial" w:hAnsi="Arial" w:cs="Arial"/>
          <w:sz w:val="12"/>
          <w:szCs w:val="12"/>
        </w:rPr>
        <w:footnoteRef/>
      </w:r>
      <w:r w:rsidRPr="002178D6">
        <w:rPr>
          <w:rFonts w:ascii="Arial" w:hAnsi="Arial" w:cs="Arial"/>
          <w:sz w:val="12"/>
          <w:szCs w:val="12"/>
        </w:rPr>
        <w:t xml:space="preserve"> </w:t>
      </w:r>
      <w:r w:rsidR="0011759E" w:rsidRPr="002178D6">
        <w:rPr>
          <w:rFonts w:ascii="Arial" w:hAnsi="Arial" w:cs="Arial"/>
          <w:color w:val="222222"/>
          <w:sz w:val="12"/>
          <w:szCs w:val="12"/>
          <w:shd w:val="clear" w:color="auto" w:fill="FFFFFF"/>
        </w:rPr>
        <w:t>Peck, A. (2017). Engagement and Employability: Integrating Career Learning through Cocurricular Experiences in Postsecondary Education. </w:t>
      </w:r>
      <w:r w:rsidR="0011759E" w:rsidRPr="002178D6">
        <w:rPr>
          <w:rFonts w:ascii="Arial" w:hAnsi="Arial" w:cs="Arial"/>
          <w:i/>
          <w:iCs/>
          <w:color w:val="222222"/>
          <w:sz w:val="12"/>
          <w:szCs w:val="12"/>
          <w:shd w:val="clear" w:color="auto" w:fill="FFFFFF"/>
        </w:rPr>
        <w:t>NASPA-Student Affairs Administrators in Higher Education</w:t>
      </w:r>
      <w:r w:rsidR="0011759E" w:rsidRPr="002178D6">
        <w:rPr>
          <w:rFonts w:ascii="Arial" w:hAnsi="Arial" w:cs="Arial"/>
          <w:color w:val="222222"/>
          <w:sz w:val="12"/>
          <w:szCs w:val="12"/>
          <w:shd w:val="clear" w:color="auto" w:fill="FFFFFF"/>
        </w:rPr>
        <w:t>.</w:t>
      </w:r>
    </w:p>
  </w:footnote>
  <w:footnote w:id="3">
    <w:p w14:paraId="67C31045" w14:textId="663555E8" w:rsidR="002178D6" w:rsidRDefault="002178D6">
      <w:pPr>
        <w:pStyle w:val="FootnoteText"/>
      </w:pPr>
      <w:r w:rsidRPr="002178D6">
        <w:rPr>
          <w:rStyle w:val="FootnoteReference"/>
          <w:rFonts w:ascii="Arial" w:hAnsi="Arial" w:cs="Arial"/>
          <w:sz w:val="12"/>
          <w:szCs w:val="12"/>
        </w:rPr>
        <w:footnoteRef/>
      </w:r>
      <w:r w:rsidRPr="002178D6">
        <w:rPr>
          <w:rFonts w:ascii="Arial" w:hAnsi="Arial" w:cs="Arial"/>
          <w:sz w:val="12"/>
          <w:szCs w:val="12"/>
        </w:rPr>
        <w:t xml:space="preserve"> </w:t>
      </w:r>
      <w:r w:rsidRPr="002178D6">
        <w:rPr>
          <w:rFonts w:ascii="Arial" w:hAnsi="Arial" w:cs="Arial"/>
          <w:color w:val="222222"/>
          <w:sz w:val="12"/>
          <w:szCs w:val="12"/>
          <w:shd w:val="clear" w:color="auto" w:fill="FFFFFF"/>
        </w:rPr>
        <w:t>Lumina Foundation. (2016). Goal 2025. https://www.luminafoundation.org/goal_2025</w:t>
      </w:r>
    </w:p>
  </w:footnote>
  <w:footnote w:id="4">
    <w:p w14:paraId="43E9C601" w14:textId="20CC9050" w:rsidR="00D6248C" w:rsidRDefault="00D6248C">
      <w:pPr>
        <w:pStyle w:val="FootnoteText"/>
      </w:pPr>
      <w:r w:rsidRPr="00D6248C">
        <w:rPr>
          <w:rStyle w:val="FootnoteReference"/>
          <w:rFonts w:ascii="Arial" w:hAnsi="Arial" w:cs="Arial"/>
          <w:sz w:val="12"/>
          <w:szCs w:val="12"/>
        </w:rPr>
        <w:footnoteRef/>
      </w:r>
      <w:r w:rsidRPr="00D6248C">
        <w:rPr>
          <w:rFonts w:ascii="Arial" w:hAnsi="Arial" w:cs="Arial"/>
          <w:sz w:val="12"/>
          <w:szCs w:val="12"/>
        </w:rPr>
        <w:t xml:space="preserve"> Peck, A., and M. Preston. "The value of engaged students." NACE Journal (2017).</w:t>
      </w:r>
    </w:p>
  </w:footnote>
  <w:footnote w:id="5">
    <w:p w14:paraId="5C54DAFC" w14:textId="2C3DDB7A" w:rsidR="00E56BD8" w:rsidRPr="00951585" w:rsidRDefault="000B3E88">
      <w:pPr>
        <w:pStyle w:val="FootnoteText"/>
        <w:rPr>
          <w:rFonts w:ascii="Arial" w:hAnsi="Arial" w:cs="Arial"/>
          <w:sz w:val="12"/>
          <w:szCs w:val="12"/>
        </w:rPr>
      </w:pPr>
      <w:r w:rsidRPr="000B3E88">
        <w:rPr>
          <w:rFonts w:ascii="Arial" w:hAnsi="Arial" w:cs="Arial"/>
          <w:sz w:val="12"/>
          <w:szCs w:val="12"/>
          <w:vertAlign w:val="superscript"/>
        </w:rPr>
        <w:footnoteRef/>
      </w:r>
      <w:r w:rsidRPr="000B3E88">
        <w:rPr>
          <w:rFonts w:ascii="Arial" w:hAnsi="Arial" w:cs="Arial"/>
          <w:sz w:val="12"/>
          <w:szCs w:val="12"/>
        </w:rPr>
        <w:t xml:space="preserve"> National Association of Colleges and Employers. (2016). Career readiness defined.</w:t>
      </w:r>
    </w:p>
  </w:footnote>
  <w:footnote w:id="6">
    <w:p w14:paraId="4C20A4B1" w14:textId="65351600" w:rsidR="00150CBE" w:rsidRPr="00505019" w:rsidRDefault="00150CBE">
      <w:pPr>
        <w:pStyle w:val="FootnoteText"/>
        <w:rPr>
          <w:rFonts w:ascii="Arial" w:hAnsi="Arial" w:cs="Arial"/>
          <w:sz w:val="12"/>
          <w:szCs w:val="12"/>
        </w:rPr>
      </w:pPr>
      <w:r w:rsidRPr="00505019">
        <w:rPr>
          <w:rStyle w:val="FootnoteReference"/>
          <w:rFonts w:ascii="Arial" w:hAnsi="Arial" w:cs="Arial"/>
          <w:sz w:val="12"/>
          <w:szCs w:val="12"/>
        </w:rPr>
        <w:footnoteRef/>
      </w:r>
      <w:r w:rsidRPr="00505019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505019">
        <w:rPr>
          <w:rFonts w:ascii="Arial" w:hAnsi="Arial" w:cs="Arial"/>
          <w:sz w:val="12"/>
          <w:szCs w:val="12"/>
        </w:rPr>
        <w:t>Cruzvergara</w:t>
      </w:r>
      <w:proofErr w:type="spellEnd"/>
      <w:r w:rsidRPr="00505019">
        <w:rPr>
          <w:rFonts w:ascii="Arial" w:hAnsi="Arial" w:cs="Arial"/>
          <w:sz w:val="12"/>
          <w:szCs w:val="12"/>
        </w:rPr>
        <w:t xml:space="preserve">, C. Y., </w:t>
      </w:r>
      <w:proofErr w:type="spellStart"/>
      <w:r w:rsidRPr="00505019">
        <w:rPr>
          <w:rFonts w:ascii="Arial" w:hAnsi="Arial" w:cs="Arial"/>
          <w:sz w:val="12"/>
          <w:szCs w:val="12"/>
        </w:rPr>
        <w:t>Testani</w:t>
      </w:r>
      <w:proofErr w:type="spellEnd"/>
      <w:r w:rsidRPr="00505019">
        <w:rPr>
          <w:rFonts w:ascii="Arial" w:hAnsi="Arial" w:cs="Arial"/>
          <w:sz w:val="12"/>
          <w:szCs w:val="12"/>
        </w:rPr>
        <w:t>, J. A., &amp; Smith, K. K. (2018). Leadership competency expectations of employers and the expanding mission of career centers. New directions for student leadership, 2018(157), 27-37.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A3C97"/>
    <w:multiLevelType w:val="hybridMultilevel"/>
    <w:tmpl w:val="D5DC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076D"/>
    <w:multiLevelType w:val="hybridMultilevel"/>
    <w:tmpl w:val="44B64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A3D63"/>
    <w:multiLevelType w:val="hybridMultilevel"/>
    <w:tmpl w:val="6882D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196826"/>
    <w:multiLevelType w:val="hybridMultilevel"/>
    <w:tmpl w:val="825A1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003BDF"/>
    <w:multiLevelType w:val="hybridMultilevel"/>
    <w:tmpl w:val="4C4C5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A5FE0"/>
    <w:multiLevelType w:val="multilevel"/>
    <w:tmpl w:val="CF3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51437"/>
    <w:multiLevelType w:val="multilevel"/>
    <w:tmpl w:val="78A4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DF6A05"/>
    <w:multiLevelType w:val="hybridMultilevel"/>
    <w:tmpl w:val="889412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21208C"/>
    <w:multiLevelType w:val="hybridMultilevel"/>
    <w:tmpl w:val="837CA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3NrC0NDAwNDQ3NLFQ0lEKTi0uzszPAykwrAUAxsI4qywAAAA="/>
  </w:docVars>
  <w:rsids>
    <w:rsidRoot w:val="002C4CFA"/>
    <w:rsid w:val="00004E65"/>
    <w:rsid w:val="00006DC1"/>
    <w:rsid w:val="00014485"/>
    <w:rsid w:val="000529EF"/>
    <w:rsid w:val="00052ADB"/>
    <w:rsid w:val="00055C0D"/>
    <w:rsid w:val="000605E1"/>
    <w:rsid w:val="00063B86"/>
    <w:rsid w:val="00064994"/>
    <w:rsid w:val="00073E13"/>
    <w:rsid w:val="000830AA"/>
    <w:rsid w:val="00085AB2"/>
    <w:rsid w:val="000970B7"/>
    <w:rsid w:val="000A0035"/>
    <w:rsid w:val="000A0199"/>
    <w:rsid w:val="000A2344"/>
    <w:rsid w:val="000B3E88"/>
    <w:rsid w:val="000B6E16"/>
    <w:rsid w:val="000C5B53"/>
    <w:rsid w:val="000C6EBF"/>
    <w:rsid w:val="000C75D5"/>
    <w:rsid w:val="000D6348"/>
    <w:rsid w:val="00101439"/>
    <w:rsid w:val="00103EBE"/>
    <w:rsid w:val="0011759E"/>
    <w:rsid w:val="00136E32"/>
    <w:rsid w:val="00147C4A"/>
    <w:rsid w:val="00150CBE"/>
    <w:rsid w:val="001575DE"/>
    <w:rsid w:val="00171AA8"/>
    <w:rsid w:val="00180069"/>
    <w:rsid w:val="00181143"/>
    <w:rsid w:val="001877DC"/>
    <w:rsid w:val="00193347"/>
    <w:rsid w:val="001A592E"/>
    <w:rsid w:val="001F256B"/>
    <w:rsid w:val="001F678B"/>
    <w:rsid w:val="00211AD6"/>
    <w:rsid w:val="002178D6"/>
    <w:rsid w:val="00223083"/>
    <w:rsid w:val="002347E6"/>
    <w:rsid w:val="00235135"/>
    <w:rsid w:val="00240AC2"/>
    <w:rsid w:val="00243CC4"/>
    <w:rsid w:val="00247102"/>
    <w:rsid w:val="00250D09"/>
    <w:rsid w:val="00254DA8"/>
    <w:rsid w:val="00271DEC"/>
    <w:rsid w:val="00273D8C"/>
    <w:rsid w:val="0027464F"/>
    <w:rsid w:val="00275EDC"/>
    <w:rsid w:val="0028754B"/>
    <w:rsid w:val="002940D5"/>
    <w:rsid w:val="00295413"/>
    <w:rsid w:val="002C4CFA"/>
    <w:rsid w:val="002D10C8"/>
    <w:rsid w:val="002E1754"/>
    <w:rsid w:val="002F3132"/>
    <w:rsid w:val="00300522"/>
    <w:rsid w:val="00331919"/>
    <w:rsid w:val="00334159"/>
    <w:rsid w:val="003463F1"/>
    <w:rsid w:val="00355991"/>
    <w:rsid w:val="00357114"/>
    <w:rsid w:val="00361711"/>
    <w:rsid w:val="003755CC"/>
    <w:rsid w:val="003800F1"/>
    <w:rsid w:val="003813FD"/>
    <w:rsid w:val="003845B0"/>
    <w:rsid w:val="00387D6B"/>
    <w:rsid w:val="003935A4"/>
    <w:rsid w:val="003A022E"/>
    <w:rsid w:val="003A194C"/>
    <w:rsid w:val="003A4CD8"/>
    <w:rsid w:val="003B7401"/>
    <w:rsid w:val="003E0469"/>
    <w:rsid w:val="00406055"/>
    <w:rsid w:val="00410738"/>
    <w:rsid w:val="00422FC7"/>
    <w:rsid w:val="00431701"/>
    <w:rsid w:val="004354E8"/>
    <w:rsid w:val="00435FC0"/>
    <w:rsid w:val="0044109D"/>
    <w:rsid w:val="004724E6"/>
    <w:rsid w:val="00483E45"/>
    <w:rsid w:val="004C02FA"/>
    <w:rsid w:val="004E1701"/>
    <w:rsid w:val="004E6016"/>
    <w:rsid w:val="004F533D"/>
    <w:rsid w:val="00505019"/>
    <w:rsid w:val="00506D89"/>
    <w:rsid w:val="00523409"/>
    <w:rsid w:val="005241D1"/>
    <w:rsid w:val="00525015"/>
    <w:rsid w:val="00555EC5"/>
    <w:rsid w:val="00557925"/>
    <w:rsid w:val="00563E1A"/>
    <w:rsid w:val="00582033"/>
    <w:rsid w:val="005E4962"/>
    <w:rsid w:val="0061429A"/>
    <w:rsid w:val="0061536B"/>
    <w:rsid w:val="00657F1C"/>
    <w:rsid w:val="00680398"/>
    <w:rsid w:val="00682327"/>
    <w:rsid w:val="006909C7"/>
    <w:rsid w:val="006909CF"/>
    <w:rsid w:val="006974AE"/>
    <w:rsid w:val="006C3E3D"/>
    <w:rsid w:val="006C5773"/>
    <w:rsid w:val="006E3825"/>
    <w:rsid w:val="006F0CBB"/>
    <w:rsid w:val="006F60EE"/>
    <w:rsid w:val="006F7397"/>
    <w:rsid w:val="00707BFC"/>
    <w:rsid w:val="00711EFD"/>
    <w:rsid w:val="00713C43"/>
    <w:rsid w:val="007168A7"/>
    <w:rsid w:val="00716E8A"/>
    <w:rsid w:val="007301A1"/>
    <w:rsid w:val="007316DE"/>
    <w:rsid w:val="00734F48"/>
    <w:rsid w:val="0074368F"/>
    <w:rsid w:val="00745AF9"/>
    <w:rsid w:val="00763E11"/>
    <w:rsid w:val="0077028B"/>
    <w:rsid w:val="00773E84"/>
    <w:rsid w:val="007818E0"/>
    <w:rsid w:val="00785EA6"/>
    <w:rsid w:val="00787F19"/>
    <w:rsid w:val="007917D8"/>
    <w:rsid w:val="007A7DE8"/>
    <w:rsid w:val="007B6EA8"/>
    <w:rsid w:val="007C3D1B"/>
    <w:rsid w:val="007C62D5"/>
    <w:rsid w:val="007E5285"/>
    <w:rsid w:val="007F1520"/>
    <w:rsid w:val="007F6D72"/>
    <w:rsid w:val="0081418D"/>
    <w:rsid w:val="00815956"/>
    <w:rsid w:val="00822867"/>
    <w:rsid w:val="00825831"/>
    <w:rsid w:val="00843CA1"/>
    <w:rsid w:val="0086068E"/>
    <w:rsid w:val="00862CF4"/>
    <w:rsid w:val="00874363"/>
    <w:rsid w:val="00887F94"/>
    <w:rsid w:val="00895846"/>
    <w:rsid w:val="008A30EA"/>
    <w:rsid w:val="008A5087"/>
    <w:rsid w:val="008B5750"/>
    <w:rsid w:val="008C19BC"/>
    <w:rsid w:val="008C3082"/>
    <w:rsid w:val="008C5719"/>
    <w:rsid w:val="008D32E4"/>
    <w:rsid w:val="008D5609"/>
    <w:rsid w:val="008E3412"/>
    <w:rsid w:val="008F154D"/>
    <w:rsid w:val="008F4844"/>
    <w:rsid w:val="008F6741"/>
    <w:rsid w:val="009140EE"/>
    <w:rsid w:val="00951585"/>
    <w:rsid w:val="0096768D"/>
    <w:rsid w:val="00982DE2"/>
    <w:rsid w:val="00997938"/>
    <w:rsid w:val="009B0099"/>
    <w:rsid w:val="009B4FBD"/>
    <w:rsid w:val="009B73E7"/>
    <w:rsid w:val="009C66F6"/>
    <w:rsid w:val="009D5CAD"/>
    <w:rsid w:val="009E4553"/>
    <w:rsid w:val="009F2A44"/>
    <w:rsid w:val="009F4785"/>
    <w:rsid w:val="009F5477"/>
    <w:rsid w:val="00A21510"/>
    <w:rsid w:val="00A25A8B"/>
    <w:rsid w:val="00A36CF2"/>
    <w:rsid w:val="00A458D8"/>
    <w:rsid w:val="00A60672"/>
    <w:rsid w:val="00A659C5"/>
    <w:rsid w:val="00A662D0"/>
    <w:rsid w:val="00A71413"/>
    <w:rsid w:val="00AB1679"/>
    <w:rsid w:val="00AD1BA7"/>
    <w:rsid w:val="00AE48E7"/>
    <w:rsid w:val="00AF77A4"/>
    <w:rsid w:val="00B00153"/>
    <w:rsid w:val="00B00481"/>
    <w:rsid w:val="00B00BE2"/>
    <w:rsid w:val="00B04B81"/>
    <w:rsid w:val="00B059B5"/>
    <w:rsid w:val="00B0697E"/>
    <w:rsid w:val="00B12D90"/>
    <w:rsid w:val="00B131C5"/>
    <w:rsid w:val="00B2221B"/>
    <w:rsid w:val="00B33E5A"/>
    <w:rsid w:val="00B368FB"/>
    <w:rsid w:val="00B44BB2"/>
    <w:rsid w:val="00B53407"/>
    <w:rsid w:val="00B73619"/>
    <w:rsid w:val="00B76CE9"/>
    <w:rsid w:val="00B80633"/>
    <w:rsid w:val="00B90B7E"/>
    <w:rsid w:val="00BB1674"/>
    <w:rsid w:val="00BE7775"/>
    <w:rsid w:val="00BF25BB"/>
    <w:rsid w:val="00BF65BB"/>
    <w:rsid w:val="00C11B2E"/>
    <w:rsid w:val="00C15538"/>
    <w:rsid w:val="00C15E1A"/>
    <w:rsid w:val="00C21CCB"/>
    <w:rsid w:val="00C223FB"/>
    <w:rsid w:val="00C260EB"/>
    <w:rsid w:val="00C26F99"/>
    <w:rsid w:val="00C53C72"/>
    <w:rsid w:val="00C55638"/>
    <w:rsid w:val="00C8043B"/>
    <w:rsid w:val="00C95D63"/>
    <w:rsid w:val="00CA4750"/>
    <w:rsid w:val="00CA5287"/>
    <w:rsid w:val="00CB2C2B"/>
    <w:rsid w:val="00CB39C7"/>
    <w:rsid w:val="00CC4388"/>
    <w:rsid w:val="00CE2F0B"/>
    <w:rsid w:val="00CE5048"/>
    <w:rsid w:val="00D02FC7"/>
    <w:rsid w:val="00D05376"/>
    <w:rsid w:val="00D07553"/>
    <w:rsid w:val="00D458E4"/>
    <w:rsid w:val="00D50F72"/>
    <w:rsid w:val="00D6248C"/>
    <w:rsid w:val="00D662C5"/>
    <w:rsid w:val="00D70149"/>
    <w:rsid w:val="00D74415"/>
    <w:rsid w:val="00D77E24"/>
    <w:rsid w:val="00D813A2"/>
    <w:rsid w:val="00DA5F2D"/>
    <w:rsid w:val="00DB1F95"/>
    <w:rsid w:val="00DC10C0"/>
    <w:rsid w:val="00DC328A"/>
    <w:rsid w:val="00DC6CF4"/>
    <w:rsid w:val="00DD0364"/>
    <w:rsid w:val="00DF3753"/>
    <w:rsid w:val="00DF7462"/>
    <w:rsid w:val="00E3661C"/>
    <w:rsid w:val="00E36E22"/>
    <w:rsid w:val="00E4213C"/>
    <w:rsid w:val="00E4257E"/>
    <w:rsid w:val="00E43112"/>
    <w:rsid w:val="00E55B80"/>
    <w:rsid w:val="00E56BD8"/>
    <w:rsid w:val="00E65818"/>
    <w:rsid w:val="00E91649"/>
    <w:rsid w:val="00EB1A65"/>
    <w:rsid w:val="00EB4BE9"/>
    <w:rsid w:val="00EB7691"/>
    <w:rsid w:val="00EC5834"/>
    <w:rsid w:val="00EF4CA4"/>
    <w:rsid w:val="00EF6AC2"/>
    <w:rsid w:val="00EF7969"/>
    <w:rsid w:val="00F429FD"/>
    <w:rsid w:val="00F80B7A"/>
    <w:rsid w:val="00F84204"/>
    <w:rsid w:val="00F843C7"/>
    <w:rsid w:val="00FA14FD"/>
    <w:rsid w:val="00FA4504"/>
    <w:rsid w:val="00FA4EF5"/>
    <w:rsid w:val="00FB49DC"/>
    <w:rsid w:val="00FB70D5"/>
    <w:rsid w:val="00FC4485"/>
    <w:rsid w:val="00FC6AD9"/>
    <w:rsid w:val="00FD2922"/>
    <w:rsid w:val="00FD504B"/>
    <w:rsid w:val="00FD5A4D"/>
    <w:rsid w:val="00FE00FA"/>
    <w:rsid w:val="00FE5191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02AF7"/>
  <w15:chartTrackingRefBased/>
  <w15:docId w15:val="{40E8761F-E507-4AF7-BD71-8C917397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800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506D89"/>
    <w:pPr>
      <w:spacing w:after="200"/>
    </w:pPr>
    <w:rPr>
      <w:iCs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8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8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4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3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3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3C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75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8006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0069"/>
    <w:rPr>
      <w:b/>
      <w:bCs/>
    </w:rPr>
  </w:style>
  <w:style w:type="character" w:styleId="Hyperlink">
    <w:name w:val="Hyperlink"/>
    <w:basedOn w:val="DefaultParagraphFont"/>
    <w:uiPriority w:val="99"/>
    <w:unhideWhenUsed/>
    <w:rsid w:val="0018006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41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41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418D"/>
    <w:rPr>
      <w:vertAlign w:val="superscript"/>
    </w:rPr>
  </w:style>
  <w:style w:type="table" w:styleId="TableGrid">
    <w:name w:val="Table Grid"/>
    <w:basedOn w:val="TableNormal"/>
    <w:uiPriority w:val="39"/>
    <w:rsid w:val="009B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6B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B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gough@fau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allup.com/services/176768/2014-gallup-purdue-index-repor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D51150B897947829579B8FE15811D" ma:contentTypeVersion="12" ma:contentTypeDescription="Create a new document." ma:contentTypeScope="" ma:versionID="a0412c931a03250ceca398928a8ac3b4">
  <xsd:schema xmlns:xsd="http://www.w3.org/2001/XMLSchema" xmlns:xs="http://www.w3.org/2001/XMLSchema" xmlns:p="http://schemas.microsoft.com/office/2006/metadata/properties" xmlns:ns3="450ca1e6-f051-4a8a-ace4-355f659db9a9" xmlns:ns4="b208a980-b589-408a-b55d-76850861a859" targetNamespace="http://schemas.microsoft.com/office/2006/metadata/properties" ma:root="true" ma:fieldsID="0059d84a573c2f17937ffbbac1062dc5" ns3:_="" ns4:_="">
    <xsd:import namespace="450ca1e6-f051-4a8a-ace4-355f659db9a9"/>
    <xsd:import namespace="b208a980-b589-408a-b55d-76850861a8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ca1e6-f051-4a8a-ace4-355f659db9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a980-b589-408a-b55d-76850861a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55271-9EE4-4251-8000-04146A8BD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06F770-2900-4BB7-BD5F-DDA98ADDF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3E15F-F12E-47ED-8947-F1CE6E8A5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ca1e6-f051-4a8a-ace4-355f659db9a9"/>
    <ds:schemaRef ds:uri="b208a980-b589-408a-b55d-76850861a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7DEC36-E70A-4F12-8632-081142B4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1791</Words>
  <Characters>10215</Characters>
  <Application>Microsoft Office Word</Application>
  <DocSecurity>4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Meeroff</dc:creator>
  <cp:keywords/>
  <dc:description/>
  <cp:lastModifiedBy>Edward Pratt</cp:lastModifiedBy>
  <cp:revision>2</cp:revision>
  <dcterms:created xsi:type="dcterms:W3CDTF">2021-01-29T17:32:00Z</dcterms:created>
  <dcterms:modified xsi:type="dcterms:W3CDTF">2021-01-29T17:32:00Z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0x010100F91D51150B897947829579B8FE15811D</vt:lpwstr>
  </property>
</Properties>
</file>