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D9F3" w14:textId="77777777" w:rsidR="00533D0E" w:rsidRDefault="00792D07">
      <w:r>
        <w:t>Research Intensive Course 5-year Review</w:t>
      </w:r>
    </w:p>
    <w:p w14:paraId="2D9BF873" w14:textId="70C81574" w:rsidR="00792D07" w:rsidRDefault="00792D07" w:rsidP="00792D07">
      <w:pPr>
        <w:pStyle w:val="ListParagraph"/>
        <w:numPr>
          <w:ilvl w:val="0"/>
          <w:numId w:val="1"/>
        </w:numPr>
      </w:pPr>
      <w:r w:rsidRPr="00792D07">
        <w:rPr>
          <w:b/>
        </w:rPr>
        <w:t>Two Person Review Team</w:t>
      </w:r>
      <w:r>
        <w:t xml:space="preserve">. </w:t>
      </w:r>
      <w:r w:rsidR="00DB7B42">
        <w:t>Each course with a research-intensive (RI) designation will be reviewed every 5 years by a two-person review team consisting of the College Faculty Liaison and one other member in a closely related field.</w:t>
      </w:r>
      <w:r>
        <w:t xml:space="preserve"> The College Faculty Liaison shall not review his/her own course. </w:t>
      </w:r>
    </w:p>
    <w:p w14:paraId="53971DF5" w14:textId="48915D86" w:rsidR="00792D07" w:rsidRDefault="00792D07" w:rsidP="00792D07">
      <w:pPr>
        <w:pStyle w:val="ListParagraph"/>
        <w:numPr>
          <w:ilvl w:val="0"/>
          <w:numId w:val="1"/>
        </w:numPr>
      </w:pPr>
      <w:r w:rsidRPr="00792D07">
        <w:rPr>
          <w:b/>
        </w:rPr>
        <w:t>Course Portfolio</w:t>
      </w:r>
      <w:r>
        <w:t>: Faculty member</w:t>
      </w:r>
      <w:r w:rsidR="00F944C1">
        <w:t xml:space="preserve"> of record for the course</w:t>
      </w:r>
      <w:r>
        <w:t xml:space="preserve"> provides </w:t>
      </w:r>
      <w:r w:rsidR="000C2EBE">
        <w:t xml:space="preserve">the review team </w:t>
      </w:r>
      <w:r>
        <w:t>with a course syllabus</w:t>
      </w:r>
      <w:r w:rsidR="009F0254">
        <w:t xml:space="preserve">, </w:t>
      </w:r>
      <w:r w:rsidR="009F0254">
        <w:rPr>
          <w:color w:val="FF0000"/>
        </w:rPr>
        <w:t xml:space="preserve">statement of what research looks like in the particular field (to acquaint faculty reviewers), </w:t>
      </w:r>
      <w:r>
        <w:t>and access to one example of the research product for the course. This can be in the form of a document, video, oral presentation</w:t>
      </w:r>
      <w:r w:rsidR="00F944C1">
        <w:t xml:space="preserve"> or creative </w:t>
      </w:r>
      <w:r w:rsidR="00DB7B42">
        <w:t>product</w:t>
      </w:r>
      <w:r>
        <w:t>.</w:t>
      </w:r>
    </w:p>
    <w:p w14:paraId="67651319" w14:textId="7C117D02" w:rsidR="00792D07" w:rsidRDefault="00792D07" w:rsidP="00792D07">
      <w:pPr>
        <w:pStyle w:val="ListParagraph"/>
        <w:numPr>
          <w:ilvl w:val="0"/>
          <w:numId w:val="1"/>
        </w:numPr>
      </w:pPr>
      <w:r w:rsidRPr="00792D07">
        <w:rPr>
          <w:b/>
        </w:rPr>
        <w:t>Review Worksheet</w:t>
      </w:r>
      <w:r>
        <w:t>: The review team fills out the review worksheet and submits to the OURI office. If all items meet/exceed the criteria, the course is renewed for 5 more years. If items fail to meet the criteria, the reviewer provides recommendations to the faculty member to help meet the criteria</w:t>
      </w:r>
      <w:r w:rsidR="001C0367">
        <w:t xml:space="preserve">, and after the corrections are made, the course is renewed for </w:t>
      </w:r>
      <w:r w:rsidR="00DB7B42">
        <w:t>5</w:t>
      </w:r>
      <w:r w:rsidR="001C0367">
        <w:t xml:space="preserve"> more years</w:t>
      </w:r>
      <w:r>
        <w:t>.</w:t>
      </w:r>
    </w:p>
    <w:p w14:paraId="2B9A90C8" w14:textId="77777777" w:rsidR="00792D07" w:rsidRDefault="00792D07" w:rsidP="00792D07">
      <w:r>
        <w:br w:type="page"/>
      </w:r>
    </w:p>
    <w:p w14:paraId="63B1154E" w14:textId="77777777" w:rsidR="00792D07" w:rsidRDefault="00792D07" w:rsidP="00792D07">
      <w:pPr>
        <w:jc w:val="center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lastRenderedPageBreak/>
        <w:t xml:space="preserve">Undergraduate Research Intensive Course Review Worksheet </w:t>
      </w:r>
    </w:p>
    <w:p w14:paraId="1B8B4A93" w14:textId="77777777" w:rsidR="00792D07" w:rsidRDefault="00792D07" w:rsidP="00792D07">
      <w:pPr>
        <w:jc w:val="center"/>
        <w:rPr>
          <w:rFonts w:ascii="Calibri" w:eastAsia="Calibri" w:hAnsi="Calibri"/>
          <w:b/>
          <w:sz w:val="26"/>
          <w:szCs w:val="26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887"/>
        <w:gridCol w:w="2610"/>
        <w:gridCol w:w="3150"/>
      </w:tblGrid>
      <w:tr w:rsidR="00792D07" w:rsidRPr="00792D07" w14:paraId="55DD7B76" w14:textId="77777777" w:rsidTr="007C7D58">
        <w:tc>
          <w:tcPr>
            <w:tcW w:w="2328" w:type="dxa"/>
            <w:tcBorders>
              <w:bottom w:val="nil"/>
            </w:tcBorders>
          </w:tcPr>
          <w:p w14:paraId="49B898D5" w14:textId="77777777" w:rsidR="00792D07" w:rsidRPr="00792D07" w:rsidRDefault="00792D07" w:rsidP="00792D07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792D07">
              <w:rPr>
                <w:rFonts w:ascii="Calibri" w:eastAsia="Calibri" w:hAnsi="Calibri"/>
                <w:b/>
                <w:sz w:val="20"/>
                <w:szCs w:val="20"/>
              </w:rPr>
              <w:t>RI Course Number/Name</w:t>
            </w:r>
          </w:p>
        </w:tc>
        <w:tc>
          <w:tcPr>
            <w:tcW w:w="2887" w:type="dxa"/>
          </w:tcPr>
          <w:p w14:paraId="49CBFC65" w14:textId="77777777" w:rsidR="00792D07" w:rsidRPr="00792D07" w:rsidRDefault="00792D07" w:rsidP="00792D0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319E8070" w14:textId="77777777" w:rsidR="00792D07" w:rsidRPr="00792D07" w:rsidRDefault="00792D07" w:rsidP="00792D07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College/Department or Unit</w:t>
            </w:r>
          </w:p>
        </w:tc>
        <w:tc>
          <w:tcPr>
            <w:tcW w:w="3150" w:type="dxa"/>
          </w:tcPr>
          <w:p w14:paraId="28B2290C" w14:textId="77777777" w:rsidR="00792D07" w:rsidRPr="00792D07" w:rsidRDefault="00792D07" w:rsidP="00792D0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14:paraId="2CD6505C" w14:textId="77777777" w:rsidR="00792D07" w:rsidRDefault="00792D07" w:rsidP="00792D07">
      <w:pPr>
        <w:jc w:val="center"/>
        <w:rPr>
          <w:rFonts w:ascii="Calibri" w:eastAsia="Calibri" w:hAnsi="Calibri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1080"/>
        <w:gridCol w:w="1080"/>
        <w:gridCol w:w="3415"/>
      </w:tblGrid>
      <w:tr w:rsidR="007C7D58" w14:paraId="0E0886CC" w14:textId="77777777" w:rsidTr="007C7D58">
        <w:trPr>
          <w:trHeight w:val="33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A1E1" w14:textId="77777777" w:rsidR="007C7D58" w:rsidRDefault="007C7D58" w:rsidP="007C7D5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RI Course Characteristics Evidenced During Review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105" w14:textId="77777777" w:rsid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Meets or Exceeds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CD9" w14:textId="77777777" w:rsid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Does not Meet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64DF" w14:textId="77777777" w:rsidR="007C7D58" w:rsidRDefault="007C7D58" w:rsidP="007C7D58">
            <w:pPr>
              <w:spacing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Notes </w:t>
            </w:r>
          </w:p>
        </w:tc>
      </w:tr>
      <w:tr w:rsidR="007C7D58" w:rsidRPr="007C7D58" w14:paraId="41789286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408" w14:textId="77777777" w:rsidR="007C7D58" w:rsidRPr="007C7D58" w:rsidRDefault="007C7D58" w:rsidP="007C7D5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C7D58">
              <w:rPr>
                <w:rFonts w:ascii="Calibri" w:eastAsia="Calibri" w:hAnsi="Calibri" w:cs="Calibri"/>
                <w:sz w:val="20"/>
                <w:szCs w:val="20"/>
              </w:rPr>
              <w:t>RI language included in syllabus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264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6FD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EBF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0826A596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F00D" w14:textId="77777777" w:rsidR="007C7D58" w:rsidRPr="007C7D58" w:rsidRDefault="007C7D58" w:rsidP="007C7D58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7C7D58">
              <w:rPr>
                <w:rFonts w:ascii="Calibri" w:eastAsia="Calibri" w:hAnsi="Calibri" w:cs="Calibri"/>
                <w:sz w:val="20"/>
                <w:szCs w:val="20"/>
              </w:rPr>
              <w:t>Course is taken for a letter grade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69A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0A8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749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644D63E5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2BB5" w14:textId="77777777" w:rsidR="007C7D58" w:rsidRPr="007C7D58" w:rsidRDefault="007C7D58" w:rsidP="007C7D58">
            <w:pPr>
              <w:pStyle w:val="Default"/>
              <w:spacing w:after="160"/>
              <w:rPr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 xml:space="preserve">A significant portion of the course grade </w:t>
            </w:r>
            <w:r w:rsidRPr="007C7D58">
              <w:rPr>
                <w:rFonts w:eastAsia="Calibri"/>
                <w:sz w:val="20"/>
                <w:szCs w:val="20"/>
              </w:rPr>
              <w:t xml:space="preserve">(&gt;40%) </w:t>
            </w:r>
            <w:r w:rsidRPr="007C7D58">
              <w:rPr>
                <w:rFonts w:eastAsia="Calibri"/>
                <w:color w:val="auto"/>
                <w:sz w:val="20"/>
                <w:szCs w:val="20"/>
              </w:rPr>
              <w:t xml:space="preserve">is </w:t>
            </w:r>
            <w:r w:rsidRPr="007C7D58">
              <w:rPr>
                <w:rFonts w:eastAsia="Calibri"/>
                <w:sz w:val="20"/>
                <w:szCs w:val="20"/>
              </w:rPr>
              <w:t>associated with</w:t>
            </w:r>
            <w:r w:rsidRPr="007C7D58">
              <w:rPr>
                <w:rFonts w:eastAsia="Calibri"/>
                <w:color w:val="auto"/>
                <w:sz w:val="20"/>
                <w:szCs w:val="20"/>
              </w:rPr>
              <w:t xml:space="preserve"> the RI Assignment(s) or products(s)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BC8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01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8EA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4BAD7C97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EB2" w14:textId="77777777" w:rsidR="007C7D58" w:rsidRPr="007C7D58" w:rsidRDefault="007C7D58" w:rsidP="007C7D5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C7D58">
              <w:rPr>
                <w:rFonts w:eastAsia="Calibri"/>
                <w:sz w:val="20"/>
                <w:szCs w:val="20"/>
              </w:rPr>
              <w:t>Demonstrates intensive level activities and evaluation of SLO1. Knowledge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28B9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4AE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807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69DBAEED" w14:textId="77777777" w:rsidTr="007C7D58">
        <w:trPr>
          <w:trHeight w:val="64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199" w14:textId="77777777" w:rsidR="007C7D58" w:rsidRPr="007C7D58" w:rsidRDefault="007C7D58" w:rsidP="007C7D58">
            <w:pPr>
              <w:pStyle w:val="Default"/>
              <w:spacing w:after="160"/>
              <w:rPr>
                <w:rFonts w:eastAsia="Calibri"/>
                <w:color w:val="auto"/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 xml:space="preserve">Demonstrates </w:t>
            </w:r>
            <w:r w:rsidRPr="007C7D58">
              <w:rPr>
                <w:rFonts w:eastAsia="Calibri"/>
                <w:sz w:val="20"/>
                <w:szCs w:val="20"/>
              </w:rPr>
              <w:t xml:space="preserve">intensive level activities and </w:t>
            </w:r>
            <w:r w:rsidRPr="007C7D58">
              <w:rPr>
                <w:rFonts w:eastAsia="Calibri"/>
                <w:color w:val="auto"/>
                <w:sz w:val="20"/>
                <w:szCs w:val="20"/>
              </w:rPr>
              <w:t>evaluation of SLO2. Formulate Question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521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811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F4A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3CEA7943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A28" w14:textId="77777777" w:rsidR="007C7D58" w:rsidRPr="007C7D58" w:rsidRDefault="007C7D58" w:rsidP="007C7D58">
            <w:pPr>
              <w:pStyle w:val="Default"/>
              <w:spacing w:after="160"/>
              <w:rPr>
                <w:rFonts w:eastAsia="Calibri"/>
                <w:color w:val="auto"/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>Demonstrates intensive level activities and evaluation of SLO3. Plan of Action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520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93D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01D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089C0B10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B95" w14:textId="77777777" w:rsidR="007C7D58" w:rsidRPr="007C7D58" w:rsidRDefault="007C7D58" w:rsidP="007C7D58">
            <w:pPr>
              <w:pStyle w:val="Default"/>
              <w:spacing w:after="160"/>
              <w:rPr>
                <w:rFonts w:eastAsia="Calibri"/>
                <w:color w:val="auto"/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>Demonstrates intensive level activities and evaluation of SLO4. Critical Thinking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73F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47F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FFD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0EC13F5A" w14:textId="77777777" w:rsidTr="007C7D58">
        <w:trPr>
          <w:trHeight w:val="64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998" w14:textId="77777777" w:rsidR="007C7D58" w:rsidRPr="007C7D58" w:rsidRDefault="007C7D58" w:rsidP="007C7D58">
            <w:pPr>
              <w:pStyle w:val="Default"/>
              <w:spacing w:after="160"/>
              <w:rPr>
                <w:rFonts w:eastAsia="Calibri"/>
                <w:color w:val="auto"/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>Demonstrates intensive level activities and evaluation of SLO5. 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2AE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DB8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3E3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C7D58" w:rsidRPr="007C7D58" w14:paraId="6CF6A2A0" w14:textId="77777777" w:rsidTr="007C7D58">
        <w:trPr>
          <w:trHeight w:val="64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8E7" w14:textId="77777777" w:rsidR="007C7D58" w:rsidRPr="007C7D58" w:rsidRDefault="007C7D58" w:rsidP="007C7D58">
            <w:pPr>
              <w:pStyle w:val="Default"/>
              <w:spacing w:after="160"/>
              <w:rPr>
                <w:rFonts w:eastAsia="Calibri"/>
                <w:color w:val="auto"/>
                <w:sz w:val="20"/>
                <w:szCs w:val="20"/>
              </w:rPr>
            </w:pPr>
            <w:r w:rsidRPr="007C7D58">
              <w:rPr>
                <w:rFonts w:eastAsia="Calibri"/>
                <w:color w:val="auto"/>
                <w:sz w:val="20"/>
                <w:szCs w:val="20"/>
              </w:rPr>
              <w:t>Demonstrates intensive level activities and evaluation of SLO6. Communication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B27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AB6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644" w14:textId="77777777" w:rsidR="007C7D58" w:rsidRPr="007C7D58" w:rsidRDefault="007C7D58" w:rsidP="007C7D58">
            <w:pPr>
              <w:spacing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75982" w:rsidRPr="007C7D58" w14:paraId="162133A4" w14:textId="77777777" w:rsidTr="00B77050">
        <w:trPr>
          <w:trHeight w:val="649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F9C" w14:textId="77777777" w:rsidR="00D75982" w:rsidRDefault="001C0367" w:rsidP="00D75982">
            <w:pPr>
              <w:spacing w:before="240"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Recommendations</w:t>
            </w:r>
            <w:r w:rsidR="00D75982">
              <w:rPr>
                <w:rFonts w:ascii="Calibri" w:eastAsia="Calibri" w:hAnsi="Calibri"/>
                <w:sz w:val="20"/>
                <w:szCs w:val="20"/>
              </w:rPr>
              <w:t>:</w:t>
            </w:r>
          </w:p>
          <w:p w14:paraId="752E62B8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F8E1EE3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A43AF9F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1B559B3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53F1A4B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0E0893B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0FDA267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4D4C40EE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163B984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9D0A244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3EDF615" w14:textId="77777777" w:rsidR="00D75982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B06275E" w14:textId="77777777" w:rsidR="00D75982" w:rsidRPr="007C7D58" w:rsidRDefault="00D75982" w:rsidP="00D7598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2C6E309" w14:textId="77777777" w:rsidR="00792D07" w:rsidRDefault="00792D07" w:rsidP="00792D07"/>
    <w:sectPr w:rsidR="00792D07" w:rsidSect="00792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7DCE"/>
    <w:multiLevelType w:val="hybridMultilevel"/>
    <w:tmpl w:val="384A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3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07"/>
    <w:rsid w:val="000C2EBE"/>
    <w:rsid w:val="001706B6"/>
    <w:rsid w:val="00183444"/>
    <w:rsid w:val="001B78CE"/>
    <w:rsid w:val="001C0367"/>
    <w:rsid w:val="001E5FF1"/>
    <w:rsid w:val="004654A5"/>
    <w:rsid w:val="00611A54"/>
    <w:rsid w:val="00656033"/>
    <w:rsid w:val="00792D07"/>
    <w:rsid w:val="007C7D58"/>
    <w:rsid w:val="008C6F56"/>
    <w:rsid w:val="009578BF"/>
    <w:rsid w:val="0099114C"/>
    <w:rsid w:val="009D6E4A"/>
    <w:rsid w:val="009F0254"/>
    <w:rsid w:val="00D46D59"/>
    <w:rsid w:val="00D75982"/>
    <w:rsid w:val="00DB7B42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6CF4"/>
  <w15:chartTrackingRefBased/>
  <w15:docId w15:val="{14D13FDD-703A-49DC-93E9-08069DF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D07"/>
    <w:pPr>
      <w:ind w:left="720"/>
      <w:contextualSpacing/>
    </w:pPr>
  </w:style>
  <w:style w:type="table" w:styleId="TableGrid">
    <w:name w:val="Table Grid"/>
    <w:basedOn w:val="TableNormal"/>
    <w:uiPriority w:val="39"/>
    <w:rsid w:val="0079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Meeroff</dc:creator>
  <cp:keywords/>
  <dc:description/>
  <cp:lastModifiedBy>Donna Chamely-Wiik</cp:lastModifiedBy>
  <cp:revision>2</cp:revision>
  <dcterms:created xsi:type="dcterms:W3CDTF">2023-03-10T18:22:00Z</dcterms:created>
  <dcterms:modified xsi:type="dcterms:W3CDTF">2023-03-10T18:22:00Z</dcterms:modified>
</cp:coreProperties>
</file>