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396" w:rsidRPr="006713F0" w:rsidRDefault="00CE3396" w:rsidP="006713F0">
      <w:pPr>
        <w:pStyle w:val="NoSpacing"/>
        <w:jc w:val="center"/>
        <w:rPr>
          <w:rFonts w:ascii="Times New Roman" w:hAnsi="Times New Roman" w:cs="Times New Roman"/>
          <w:b/>
          <w:sz w:val="32"/>
        </w:rPr>
      </w:pPr>
      <w:bookmarkStart w:id="0" w:name="_GoBack"/>
      <w:bookmarkEnd w:id="0"/>
      <w:r w:rsidRPr="006713F0">
        <w:rPr>
          <w:rFonts w:ascii="Times New Roman" w:hAnsi="Times New Roman" w:cs="Times New Roman"/>
          <w:b/>
          <w:sz w:val="32"/>
        </w:rPr>
        <w:t>About IACUC</w:t>
      </w:r>
    </w:p>
    <w:p w:rsidR="00CE3396" w:rsidRPr="00407123" w:rsidRDefault="00CE3396" w:rsidP="00CE3396">
      <w:pPr>
        <w:pStyle w:val="NoSpacing"/>
        <w:rPr>
          <w:rFonts w:ascii="Times New Roman" w:hAnsi="Times New Roman" w:cs="Times New Roman"/>
        </w:rPr>
      </w:pPr>
    </w:p>
    <w:p w:rsidR="00CE3396" w:rsidRPr="00407123" w:rsidRDefault="00CE3396" w:rsidP="00CE3396">
      <w:pPr>
        <w:pStyle w:val="NoSpacing"/>
        <w:rPr>
          <w:rFonts w:ascii="Times New Roman" w:hAnsi="Times New Roman" w:cs="Times New Roman"/>
        </w:rPr>
      </w:pPr>
      <w:r w:rsidRPr="00407123">
        <w:rPr>
          <w:rFonts w:ascii="Times New Roman" w:hAnsi="Times New Roman" w:cs="Times New Roman"/>
        </w:rPr>
        <w:t>Florida Atlantic University</w:t>
      </w:r>
      <w:r w:rsidR="006713F0">
        <w:rPr>
          <w:rFonts w:ascii="Times New Roman" w:hAnsi="Times New Roman" w:cs="Times New Roman"/>
        </w:rPr>
        <w:t>’</w:t>
      </w:r>
      <w:r w:rsidRPr="00407123">
        <w:rPr>
          <w:rFonts w:ascii="Times New Roman" w:hAnsi="Times New Roman" w:cs="Times New Roman"/>
        </w:rPr>
        <w:t xml:space="preserve">s Institutional Animal Care and Use Committee (IACUC) </w:t>
      </w:r>
      <w:proofErr w:type="gramStart"/>
      <w:r w:rsidRPr="00407123">
        <w:rPr>
          <w:rFonts w:ascii="Times New Roman" w:hAnsi="Times New Roman" w:cs="Times New Roman"/>
        </w:rPr>
        <w:t>has</w:t>
      </w:r>
      <w:proofErr w:type="gramEnd"/>
      <w:r w:rsidRPr="00407123">
        <w:rPr>
          <w:rFonts w:ascii="Times New Roman" w:hAnsi="Times New Roman" w:cs="Times New Roman"/>
        </w:rPr>
        <w:t xml:space="preserve"> been established in accordance with the Animal Welfare Act and Public Health Service Policy on the Humane Care and Use of Animals. The committee is composed of individuals dedicated to the humane care of animals used in research and teaching, and provides oversight and assistance in ensuring compliance to all laws, regulations, and policies governing the care and use of research and teaching animals. FAU s IACUC is composed of scientists, non-scientists, veterinarians and community members who are appointed by the Vice President for Research, the Institutional Official responsible for the animal care and use program. FAU s animal care and use program is regulated by both the U.S. Department of Agriculture and the U.S. Public Health Service. University </w:t>
      </w:r>
      <w:r w:rsidR="0018367C">
        <w:rPr>
          <w:rFonts w:ascii="Times New Roman" w:hAnsi="Times New Roman" w:cs="Times New Roman"/>
        </w:rPr>
        <w:t xml:space="preserve">faculty, staff, </w:t>
      </w:r>
      <w:r w:rsidRPr="00407123">
        <w:rPr>
          <w:rFonts w:ascii="Times New Roman" w:hAnsi="Times New Roman" w:cs="Times New Roman"/>
        </w:rPr>
        <w:t>and students using animals in research, teaching or display must have IACUC approval to do so.</w:t>
      </w:r>
    </w:p>
    <w:p w:rsidR="00C43131" w:rsidRPr="00407123" w:rsidRDefault="00C43131" w:rsidP="00CE3396">
      <w:pPr>
        <w:pStyle w:val="NoSpacing"/>
        <w:rPr>
          <w:rFonts w:ascii="Times New Roman" w:hAnsi="Times New Roman" w:cs="Times New Roman"/>
        </w:rPr>
      </w:pPr>
    </w:p>
    <w:p w:rsidR="00407123" w:rsidRPr="00407123" w:rsidRDefault="00407123" w:rsidP="00C43131">
      <w:pPr>
        <w:pStyle w:val="NoSpacing"/>
        <w:rPr>
          <w:rFonts w:ascii="Times New Roman" w:hAnsi="Times New Roman" w:cs="Times New Roman"/>
        </w:rPr>
      </w:pPr>
    </w:p>
    <w:p w:rsidR="00250441" w:rsidRPr="006713F0" w:rsidRDefault="00250441" w:rsidP="00250441">
      <w:pPr>
        <w:pStyle w:val="NoSpacing"/>
        <w:jc w:val="center"/>
        <w:rPr>
          <w:rFonts w:ascii="Times New Roman" w:hAnsi="Times New Roman" w:cs="Times New Roman"/>
          <w:b/>
          <w:sz w:val="32"/>
        </w:rPr>
      </w:pPr>
      <w:r>
        <w:rPr>
          <w:rFonts w:ascii="Times New Roman" w:hAnsi="Times New Roman" w:cs="Times New Roman"/>
          <w:b/>
          <w:sz w:val="32"/>
        </w:rPr>
        <w:t>About</w:t>
      </w:r>
      <w:r w:rsidRPr="006713F0">
        <w:rPr>
          <w:rFonts w:ascii="Times New Roman" w:hAnsi="Times New Roman" w:cs="Times New Roman"/>
          <w:b/>
          <w:sz w:val="32"/>
        </w:rPr>
        <w:t xml:space="preserve"> IRB</w:t>
      </w:r>
    </w:p>
    <w:p w:rsidR="00250441" w:rsidRDefault="00250441" w:rsidP="00250441">
      <w:pPr>
        <w:pStyle w:val="NoSpacing"/>
      </w:pPr>
    </w:p>
    <w:p w:rsidR="00250441" w:rsidRPr="006713F0" w:rsidRDefault="00250441" w:rsidP="00250441">
      <w:pPr>
        <w:pStyle w:val="NoSpacing"/>
        <w:rPr>
          <w:rFonts w:ascii="Times New Roman" w:hAnsi="Times New Roman" w:cs="Times New Roman"/>
        </w:rPr>
      </w:pPr>
      <w:r>
        <w:rPr>
          <w:rFonts w:ascii="Times New Roman" w:hAnsi="Times New Roman" w:cs="Times New Roman"/>
        </w:rPr>
        <w:t xml:space="preserve">Florida Atlantic University’s </w:t>
      </w:r>
      <w:r w:rsidRPr="006713F0">
        <w:rPr>
          <w:rFonts w:ascii="Times New Roman" w:hAnsi="Times New Roman" w:cs="Times New Roman"/>
        </w:rPr>
        <w:t xml:space="preserve">Institutional Review Board (IRB) is a federally mandated committee that oversees the ethical conduct of human </w:t>
      </w:r>
      <w:proofErr w:type="gramStart"/>
      <w:r w:rsidRPr="006713F0">
        <w:rPr>
          <w:rFonts w:ascii="Times New Roman" w:hAnsi="Times New Roman" w:cs="Times New Roman"/>
        </w:rPr>
        <w:t>subjects</w:t>
      </w:r>
      <w:proofErr w:type="gramEnd"/>
      <w:r w:rsidRPr="006713F0">
        <w:rPr>
          <w:rFonts w:ascii="Times New Roman" w:hAnsi="Times New Roman" w:cs="Times New Roman"/>
        </w:rPr>
        <w:t xml:space="preserve"> research at an institution. Florida Atlantic University’s IRB serves an important role in the protection of the rights and welfare of human subjects involved in research. The IRB reviews and approves protocols for research involving humans and ensures that appropriate steps are taken to protect their rights and welfare. FAU’s IRB is comprised of faculty members representing a variety of backgrounds, training and experience, as well as community members </w:t>
      </w:r>
      <w:r>
        <w:rPr>
          <w:rFonts w:ascii="Times New Roman" w:hAnsi="Times New Roman" w:cs="Times New Roman"/>
        </w:rPr>
        <w:t xml:space="preserve">who </w:t>
      </w:r>
      <w:r w:rsidRPr="0018367C">
        <w:rPr>
          <w:rFonts w:ascii="Times New Roman" w:hAnsi="Times New Roman" w:cs="Times New Roman"/>
        </w:rPr>
        <w:t>are appointed by the Vice President for Research, the Institutional Official</w:t>
      </w:r>
      <w:r>
        <w:rPr>
          <w:rFonts w:ascii="Times New Roman" w:hAnsi="Times New Roman" w:cs="Times New Roman"/>
        </w:rPr>
        <w:t>.</w:t>
      </w:r>
    </w:p>
    <w:p w:rsidR="00250441" w:rsidRPr="006713F0" w:rsidRDefault="00250441" w:rsidP="00250441">
      <w:pPr>
        <w:pStyle w:val="NoSpacing"/>
        <w:rPr>
          <w:rFonts w:ascii="Times New Roman" w:hAnsi="Times New Roman" w:cs="Times New Roman"/>
        </w:rPr>
      </w:pPr>
    </w:p>
    <w:p w:rsidR="00250441" w:rsidRDefault="00250441" w:rsidP="00250441">
      <w:pPr>
        <w:pStyle w:val="NoSpacing"/>
        <w:rPr>
          <w:rFonts w:ascii="Times New Roman" w:hAnsi="Times New Roman" w:cs="Times New Roman"/>
        </w:rPr>
      </w:pPr>
      <w:r w:rsidRPr="006713F0">
        <w:rPr>
          <w:rFonts w:ascii="Times New Roman" w:hAnsi="Times New Roman" w:cs="Times New Roman"/>
        </w:rPr>
        <w:t>If your research meets the following two definitions then you are involved in research with human subjects: "Research" means a systematic investigation designed to develop or contribute to generalizable knowledge. "Human subject" means a living individual about whom an investigator conducting research obtains: 1.) data through intervention or interaction with the individual, or 2.) identifiable private information.</w:t>
      </w:r>
    </w:p>
    <w:p w:rsidR="00767043" w:rsidRDefault="00767043" w:rsidP="00250441">
      <w:pPr>
        <w:pStyle w:val="NoSpacing"/>
        <w:rPr>
          <w:rFonts w:ascii="Times New Roman" w:hAnsi="Times New Roman" w:cs="Times New Roman"/>
        </w:rPr>
      </w:pPr>
    </w:p>
    <w:p w:rsidR="00407123" w:rsidRPr="00407123" w:rsidRDefault="00407123" w:rsidP="00C43131">
      <w:pPr>
        <w:pStyle w:val="NoSpacing"/>
        <w:rPr>
          <w:rFonts w:ascii="Times New Roman" w:hAnsi="Times New Roman" w:cs="Times New Roman"/>
        </w:rPr>
      </w:pPr>
    </w:p>
    <w:tbl>
      <w:tblPr>
        <w:tblStyle w:val="TableGrid"/>
        <w:tblpPr w:leftFromText="180" w:rightFromText="180" w:vertAnchor="text" w:tblpY="91"/>
        <w:tblW w:w="9515" w:type="dxa"/>
        <w:tblLook w:val="04A0" w:firstRow="1" w:lastRow="0" w:firstColumn="1" w:lastColumn="0" w:noHBand="0" w:noVBand="1"/>
      </w:tblPr>
      <w:tblGrid>
        <w:gridCol w:w="2988"/>
        <w:gridCol w:w="3150"/>
        <w:gridCol w:w="3377"/>
      </w:tblGrid>
      <w:tr w:rsidR="0018367C" w:rsidRPr="00407123" w:rsidTr="00057ABF">
        <w:trPr>
          <w:trHeight w:val="257"/>
        </w:trPr>
        <w:tc>
          <w:tcPr>
            <w:tcW w:w="6138" w:type="dxa"/>
            <w:gridSpan w:val="2"/>
          </w:tcPr>
          <w:p w:rsidR="00250441" w:rsidRPr="00407123" w:rsidRDefault="0018367C" w:rsidP="000D37CE">
            <w:pPr>
              <w:pStyle w:val="NoSpacing"/>
              <w:rPr>
                <w:rFonts w:ascii="Times New Roman" w:hAnsi="Times New Roman" w:cs="Times New Roman"/>
                <w:b/>
              </w:rPr>
            </w:pPr>
            <w:r w:rsidRPr="00407123">
              <w:rPr>
                <w:rFonts w:ascii="Times New Roman" w:hAnsi="Times New Roman" w:cs="Times New Roman"/>
                <w:b/>
              </w:rPr>
              <w:t>Institutional Anima</w:t>
            </w:r>
            <w:r w:rsidR="00250441">
              <w:rPr>
                <w:rFonts w:ascii="Times New Roman" w:hAnsi="Times New Roman" w:cs="Times New Roman"/>
                <w:b/>
              </w:rPr>
              <w:t>l Care and Use Committee (IACUC)</w:t>
            </w:r>
          </w:p>
        </w:tc>
        <w:tc>
          <w:tcPr>
            <w:tcW w:w="3377" w:type="dxa"/>
          </w:tcPr>
          <w:p w:rsidR="0018367C" w:rsidRPr="00250441" w:rsidRDefault="0018367C" w:rsidP="0018367C">
            <w:pPr>
              <w:pStyle w:val="NoSpacing"/>
              <w:rPr>
                <w:rFonts w:ascii="Times New Roman" w:hAnsi="Times New Roman" w:cs="Times New Roman"/>
                <w:b/>
              </w:rPr>
            </w:pPr>
            <w:r w:rsidRPr="00250441">
              <w:rPr>
                <w:rFonts w:ascii="Times New Roman" w:hAnsi="Times New Roman" w:cs="Times New Roman"/>
                <w:b/>
              </w:rPr>
              <w:t>Institutional Review Board (IRB)</w:t>
            </w:r>
          </w:p>
          <w:p w:rsidR="0018367C" w:rsidRPr="00407123" w:rsidRDefault="0018367C" w:rsidP="000D37CE">
            <w:pPr>
              <w:pStyle w:val="NoSpacing"/>
              <w:rPr>
                <w:rFonts w:ascii="Times New Roman" w:hAnsi="Times New Roman" w:cs="Times New Roman"/>
                <w:b/>
              </w:rPr>
            </w:pPr>
          </w:p>
        </w:tc>
      </w:tr>
      <w:tr w:rsidR="0018367C" w:rsidRPr="00407123" w:rsidTr="009C5BFC">
        <w:trPr>
          <w:trHeight w:val="2705"/>
        </w:trPr>
        <w:tc>
          <w:tcPr>
            <w:tcW w:w="2988" w:type="dxa"/>
          </w:tcPr>
          <w:p w:rsidR="0018367C" w:rsidRPr="00407123" w:rsidRDefault="0018367C" w:rsidP="000D37CE">
            <w:pPr>
              <w:pStyle w:val="NoSpacing"/>
              <w:rPr>
                <w:rFonts w:ascii="Times New Roman" w:hAnsi="Times New Roman" w:cs="Times New Roman"/>
                <w:sz w:val="20"/>
              </w:rPr>
            </w:pPr>
            <w:r>
              <w:rPr>
                <w:rFonts w:ascii="Times New Roman" w:hAnsi="Times New Roman" w:cs="Times New Roman"/>
                <w:b/>
                <w:sz w:val="20"/>
              </w:rPr>
              <w:t>Include but are not limited to:</w:t>
            </w:r>
          </w:p>
          <w:p w:rsidR="0018367C" w:rsidRPr="00407123" w:rsidRDefault="0018367C" w:rsidP="000D37CE">
            <w:pPr>
              <w:pStyle w:val="NoSpacing"/>
              <w:numPr>
                <w:ilvl w:val="0"/>
                <w:numId w:val="2"/>
              </w:numPr>
              <w:rPr>
                <w:rFonts w:ascii="Times New Roman" w:hAnsi="Times New Roman" w:cs="Times New Roman"/>
                <w:sz w:val="20"/>
              </w:rPr>
            </w:pPr>
            <w:r>
              <w:rPr>
                <w:rFonts w:ascii="Times New Roman" w:hAnsi="Times New Roman" w:cs="Times New Roman"/>
                <w:sz w:val="20"/>
              </w:rPr>
              <w:t>Rodents (mice, rats)</w:t>
            </w:r>
          </w:p>
          <w:p w:rsidR="0018367C" w:rsidRPr="00407123" w:rsidRDefault="0018367C" w:rsidP="000D37CE">
            <w:pPr>
              <w:pStyle w:val="NoSpacing"/>
              <w:numPr>
                <w:ilvl w:val="0"/>
                <w:numId w:val="2"/>
              </w:numPr>
              <w:rPr>
                <w:rFonts w:ascii="Times New Roman" w:hAnsi="Times New Roman" w:cs="Times New Roman"/>
                <w:sz w:val="20"/>
              </w:rPr>
            </w:pPr>
            <w:r>
              <w:rPr>
                <w:rFonts w:ascii="Times New Roman" w:hAnsi="Times New Roman" w:cs="Times New Roman"/>
                <w:sz w:val="20"/>
              </w:rPr>
              <w:t xml:space="preserve">Marine Mammals </w:t>
            </w:r>
          </w:p>
          <w:p w:rsidR="0018367C" w:rsidRPr="00407123" w:rsidRDefault="0018367C" w:rsidP="000D37CE">
            <w:pPr>
              <w:pStyle w:val="NoSpacing"/>
              <w:numPr>
                <w:ilvl w:val="0"/>
                <w:numId w:val="2"/>
              </w:numPr>
              <w:rPr>
                <w:rFonts w:ascii="Times New Roman" w:hAnsi="Times New Roman" w:cs="Times New Roman"/>
                <w:sz w:val="20"/>
              </w:rPr>
            </w:pPr>
            <w:r>
              <w:rPr>
                <w:rFonts w:ascii="Times New Roman" w:hAnsi="Times New Roman" w:cs="Times New Roman"/>
                <w:sz w:val="20"/>
              </w:rPr>
              <w:t>Sharks</w:t>
            </w:r>
          </w:p>
          <w:p w:rsidR="0018367C" w:rsidRPr="00407123" w:rsidRDefault="0018367C" w:rsidP="000D37CE">
            <w:pPr>
              <w:pStyle w:val="NoSpacing"/>
              <w:numPr>
                <w:ilvl w:val="0"/>
                <w:numId w:val="2"/>
              </w:numPr>
              <w:rPr>
                <w:rFonts w:ascii="Times New Roman" w:hAnsi="Times New Roman" w:cs="Times New Roman"/>
                <w:sz w:val="20"/>
              </w:rPr>
            </w:pPr>
            <w:r w:rsidRPr="00407123">
              <w:rPr>
                <w:rFonts w:ascii="Times New Roman" w:hAnsi="Times New Roman" w:cs="Times New Roman"/>
                <w:sz w:val="20"/>
              </w:rPr>
              <w:t xml:space="preserve">Fish </w:t>
            </w:r>
          </w:p>
          <w:p w:rsidR="0018367C" w:rsidRDefault="0018367C" w:rsidP="000D37CE">
            <w:pPr>
              <w:pStyle w:val="NoSpacing"/>
              <w:numPr>
                <w:ilvl w:val="0"/>
                <w:numId w:val="2"/>
              </w:numPr>
              <w:rPr>
                <w:rFonts w:ascii="Times New Roman" w:hAnsi="Times New Roman" w:cs="Times New Roman"/>
                <w:sz w:val="20"/>
              </w:rPr>
            </w:pPr>
            <w:r w:rsidRPr="00407123">
              <w:rPr>
                <w:rFonts w:ascii="Times New Roman" w:hAnsi="Times New Roman" w:cs="Times New Roman"/>
                <w:sz w:val="20"/>
              </w:rPr>
              <w:t>Birds</w:t>
            </w:r>
          </w:p>
          <w:p w:rsidR="0018367C" w:rsidRDefault="0018367C" w:rsidP="000D37CE">
            <w:pPr>
              <w:pStyle w:val="NoSpacing"/>
              <w:numPr>
                <w:ilvl w:val="0"/>
                <w:numId w:val="2"/>
              </w:numPr>
              <w:rPr>
                <w:rFonts w:ascii="Times New Roman" w:hAnsi="Times New Roman" w:cs="Times New Roman"/>
                <w:sz w:val="20"/>
              </w:rPr>
            </w:pPr>
            <w:r>
              <w:rPr>
                <w:rFonts w:ascii="Times New Roman" w:hAnsi="Times New Roman" w:cs="Times New Roman"/>
                <w:sz w:val="20"/>
              </w:rPr>
              <w:t>Non-human primates</w:t>
            </w:r>
          </w:p>
          <w:p w:rsidR="0018367C" w:rsidRDefault="0018367C" w:rsidP="000D37CE">
            <w:pPr>
              <w:pStyle w:val="NoSpacing"/>
              <w:numPr>
                <w:ilvl w:val="0"/>
                <w:numId w:val="2"/>
              </w:numPr>
              <w:rPr>
                <w:rFonts w:ascii="Times New Roman" w:hAnsi="Times New Roman" w:cs="Times New Roman"/>
                <w:sz w:val="20"/>
              </w:rPr>
            </w:pPr>
            <w:r>
              <w:rPr>
                <w:rFonts w:ascii="Times New Roman" w:hAnsi="Times New Roman" w:cs="Times New Roman"/>
                <w:sz w:val="20"/>
              </w:rPr>
              <w:t xml:space="preserve">Turtles and Tortoises </w:t>
            </w:r>
          </w:p>
          <w:p w:rsidR="0018367C" w:rsidRPr="00407123" w:rsidRDefault="00250441" w:rsidP="00250441">
            <w:pPr>
              <w:pStyle w:val="NoSpacing"/>
              <w:numPr>
                <w:ilvl w:val="0"/>
                <w:numId w:val="2"/>
              </w:numPr>
              <w:rPr>
                <w:rFonts w:ascii="Times New Roman" w:hAnsi="Times New Roman" w:cs="Times New Roman"/>
                <w:sz w:val="20"/>
              </w:rPr>
            </w:pPr>
            <w:r>
              <w:rPr>
                <w:rFonts w:ascii="Times New Roman" w:hAnsi="Times New Roman" w:cs="Times New Roman"/>
                <w:sz w:val="20"/>
              </w:rPr>
              <w:t xml:space="preserve">Rabbits </w:t>
            </w:r>
          </w:p>
        </w:tc>
        <w:tc>
          <w:tcPr>
            <w:tcW w:w="3150" w:type="dxa"/>
          </w:tcPr>
          <w:p w:rsidR="0018367C" w:rsidRPr="00407123" w:rsidRDefault="0018367C" w:rsidP="000D37CE">
            <w:pPr>
              <w:pStyle w:val="NoSpacing"/>
              <w:rPr>
                <w:rFonts w:ascii="Times New Roman" w:hAnsi="Times New Roman" w:cs="Times New Roman"/>
                <w:b/>
                <w:sz w:val="20"/>
              </w:rPr>
            </w:pPr>
            <w:r w:rsidRPr="00407123">
              <w:rPr>
                <w:rFonts w:ascii="Times New Roman" w:hAnsi="Times New Roman" w:cs="Times New Roman"/>
                <w:b/>
                <w:sz w:val="20"/>
              </w:rPr>
              <w:t>Subjects that do not need IACUC approval</w:t>
            </w:r>
            <w:r>
              <w:rPr>
                <w:rFonts w:ascii="Times New Roman" w:hAnsi="Times New Roman" w:cs="Times New Roman"/>
                <w:b/>
                <w:sz w:val="20"/>
              </w:rPr>
              <w:t xml:space="preserve"> include but are not limited to</w:t>
            </w:r>
            <w:r w:rsidRPr="00407123">
              <w:rPr>
                <w:rFonts w:ascii="Times New Roman" w:hAnsi="Times New Roman" w:cs="Times New Roman"/>
                <w:b/>
                <w:sz w:val="20"/>
              </w:rPr>
              <w:t>:</w:t>
            </w:r>
          </w:p>
          <w:p w:rsidR="0018367C" w:rsidRPr="00407123" w:rsidRDefault="0018367C" w:rsidP="000D37CE">
            <w:pPr>
              <w:pStyle w:val="NoSpacing"/>
              <w:numPr>
                <w:ilvl w:val="0"/>
                <w:numId w:val="1"/>
              </w:numPr>
              <w:rPr>
                <w:rFonts w:ascii="Times New Roman" w:hAnsi="Times New Roman" w:cs="Times New Roman"/>
                <w:sz w:val="20"/>
              </w:rPr>
            </w:pPr>
            <w:r>
              <w:rPr>
                <w:rFonts w:ascii="Times New Roman" w:hAnsi="Times New Roman" w:cs="Times New Roman"/>
                <w:sz w:val="20"/>
              </w:rPr>
              <w:t xml:space="preserve">Amoebas </w:t>
            </w:r>
          </w:p>
          <w:p w:rsidR="0018367C" w:rsidRPr="00407123" w:rsidRDefault="0018367C" w:rsidP="000D37CE">
            <w:pPr>
              <w:pStyle w:val="NoSpacing"/>
              <w:numPr>
                <w:ilvl w:val="0"/>
                <w:numId w:val="1"/>
              </w:numPr>
              <w:rPr>
                <w:rFonts w:ascii="Times New Roman" w:hAnsi="Times New Roman" w:cs="Times New Roman"/>
                <w:sz w:val="20"/>
              </w:rPr>
            </w:pPr>
            <w:r>
              <w:rPr>
                <w:rFonts w:ascii="Times New Roman" w:hAnsi="Times New Roman" w:cs="Times New Roman"/>
                <w:sz w:val="20"/>
              </w:rPr>
              <w:t xml:space="preserve">Clams </w:t>
            </w:r>
          </w:p>
          <w:p w:rsidR="0018367C" w:rsidRPr="00407123" w:rsidRDefault="0018367C" w:rsidP="000D37CE">
            <w:pPr>
              <w:pStyle w:val="NoSpacing"/>
              <w:numPr>
                <w:ilvl w:val="0"/>
                <w:numId w:val="1"/>
              </w:numPr>
              <w:rPr>
                <w:rFonts w:ascii="Times New Roman" w:hAnsi="Times New Roman" w:cs="Times New Roman"/>
                <w:sz w:val="20"/>
              </w:rPr>
            </w:pPr>
            <w:r w:rsidRPr="00407123">
              <w:rPr>
                <w:rFonts w:ascii="Times New Roman" w:hAnsi="Times New Roman" w:cs="Times New Roman"/>
                <w:sz w:val="20"/>
              </w:rPr>
              <w:t>Drosophila</w:t>
            </w:r>
            <w:r>
              <w:rPr>
                <w:rFonts w:ascii="Times New Roman" w:hAnsi="Times New Roman" w:cs="Times New Roman"/>
                <w:sz w:val="20"/>
              </w:rPr>
              <w:t xml:space="preserve"> melanogaster</w:t>
            </w:r>
            <w:r w:rsidRPr="00407123">
              <w:rPr>
                <w:rFonts w:ascii="Times New Roman" w:hAnsi="Times New Roman" w:cs="Times New Roman"/>
                <w:sz w:val="20"/>
              </w:rPr>
              <w:t xml:space="preserve"> (fruit fly</w:t>
            </w:r>
            <w:r>
              <w:rPr>
                <w:rFonts w:ascii="Times New Roman" w:hAnsi="Times New Roman" w:cs="Times New Roman"/>
                <w:sz w:val="20"/>
              </w:rPr>
              <w:t>)</w:t>
            </w:r>
          </w:p>
          <w:p w:rsidR="0018367C" w:rsidRPr="00407123" w:rsidRDefault="0018367C" w:rsidP="000D37CE">
            <w:pPr>
              <w:pStyle w:val="NoSpacing"/>
              <w:numPr>
                <w:ilvl w:val="0"/>
                <w:numId w:val="1"/>
              </w:numPr>
              <w:rPr>
                <w:rFonts w:ascii="Times New Roman" w:hAnsi="Times New Roman" w:cs="Times New Roman"/>
                <w:sz w:val="20"/>
              </w:rPr>
            </w:pPr>
            <w:r>
              <w:rPr>
                <w:rFonts w:ascii="Times New Roman" w:hAnsi="Times New Roman" w:cs="Times New Roman"/>
                <w:sz w:val="20"/>
              </w:rPr>
              <w:t xml:space="preserve">In vitro cell preparations using established cell lines </w:t>
            </w:r>
          </w:p>
          <w:p w:rsidR="0018367C" w:rsidRPr="00407123" w:rsidRDefault="0018367C" w:rsidP="000D37CE">
            <w:pPr>
              <w:pStyle w:val="NoSpacing"/>
              <w:numPr>
                <w:ilvl w:val="0"/>
                <w:numId w:val="1"/>
              </w:numPr>
              <w:rPr>
                <w:rFonts w:ascii="Times New Roman" w:hAnsi="Times New Roman" w:cs="Times New Roman"/>
                <w:sz w:val="20"/>
              </w:rPr>
            </w:pPr>
            <w:r w:rsidRPr="00407123">
              <w:rPr>
                <w:rFonts w:ascii="Times New Roman" w:hAnsi="Times New Roman" w:cs="Times New Roman"/>
                <w:sz w:val="20"/>
              </w:rPr>
              <w:t>Insects, worms, jellyfish, starfish</w:t>
            </w:r>
          </w:p>
        </w:tc>
        <w:tc>
          <w:tcPr>
            <w:tcW w:w="3377" w:type="dxa"/>
          </w:tcPr>
          <w:p w:rsidR="0018367C" w:rsidRPr="0018367C" w:rsidRDefault="0018367C" w:rsidP="0018367C">
            <w:pPr>
              <w:pStyle w:val="NoSpacing"/>
              <w:rPr>
                <w:rFonts w:ascii="Times New Roman" w:hAnsi="Times New Roman" w:cs="Times New Roman"/>
                <w:b/>
                <w:sz w:val="20"/>
              </w:rPr>
            </w:pPr>
            <w:r w:rsidRPr="0018367C">
              <w:rPr>
                <w:rFonts w:ascii="Times New Roman" w:hAnsi="Times New Roman" w:cs="Times New Roman"/>
                <w:b/>
                <w:sz w:val="20"/>
              </w:rPr>
              <w:t xml:space="preserve">Human </w:t>
            </w:r>
            <w:proofErr w:type="gramStart"/>
            <w:r w:rsidRPr="0018367C">
              <w:rPr>
                <w:rFonts w:ascii="Times New Roman" w:hAnsi="Times New Roman" w:cs="Times New Roman"/>
                <w:b/>
                <w:sz w:val="20"/>
              </w:rPr>
              <w:t>subjects</w:t>
            </w:r>
            <w:proofErr w:type="gramEnd"/>
            <w:r w:rsidRPr="0018367C">
              <w:rPr>
                <w:rFonts w:ascii="Times New Roman" w:hAnsi="Times New Roman" w:cs="Times New Roman"/>
                <w:b/>
                <w:sz w:val="20"/>
              </w:rPr>
              <w:t xml:space="preserve"> research can take many forms.  Some examples include:</w:t>
            </w:r>
          </w:p>
          <w:p w:rsidR="0018367C" w:rsidRPr="00250441" w:rsidRDefault="0018367C" w:rsidP="00250441">
            <w:pPr>
              <w:pStyle w:val="NoSpacing"/>
              <w:numPr>
                <w:ilvl w:val="0"/>
                <w:numId w:val="5"/>
              </w:numPr>
              <w:rPr>
                <w:rFonts w:ascii="Times New Roman" w:hAnsi="Times New Roman" w:cs="Times New Roman"/>
                <w:sz w:val="20"/>
              </w:rPr>
            </w:pPr>
            <w:r w:rsidRPr="00250441">
              <w:rPr>
                <w:rFonts w:ascii="Times New Roman" w:hAnsi="Times New Roman" w:cs="Times New Roman"/>
                <w:sz w:val="20"/>
              </w:rPr>
              <w:t>Interviews</w:t>
            </w:r>
          </w:p>
          <w:p w:rsidR="0018367C" w:rsidRPr="00250441" w:rsidRDefault="0018367C" w:rsidP="00250441">
            <w:pPr>
              <w:pStyle w:val="NoSpacing"/>
              <w:numPr>
                <w:ilvl w:val="0"/>
                <w:numId w:val="5"/>
              </w:numPr>
              <w:rPr>
                <w:rFonts w:ascii="Times New Roman" w:hAnsi="Times New Roman" w:cs="Times New Roman"/>
                <w:sz w:val="20"/>
              </w:rPr>
            </w:pPr>
            <w:r w:rsidRPr="00250441">
              <w:rPr>
                <w:rFonts w:ascii="Times New Roman" w:hAnsi="Times New Roman" w:cs="Times New Roman"/>
                <w:sz w:val="20"/>
              </w:rPr>
              <w:t>Surveys</w:t>
            </w:r>
          </w:p>
          <w:p w:rsidR="0018367C" w:rsidRPr="00250441" w:rsidRDefault="0018367C" w:rsidP="00250441">
            <w:pPr>
              <w:pStyle w:val="NoSpacing"/>
              <w:numPr>
                <w:ilvl w:val="0"/>
                <w:numId w:val="5"/>
              </w:numPr>
              <w:rPr>
                <w:rFonts w:ascii="Times New Roman" w:hAnsi="Times New Roman" w:cs="Times New Roman"/>
                <w:sz w:val="20"/>
              </w:rPr>
            </w:pPr>
            <w:r w:rsidRPr="00250441">
              <w:rPr>
                <w:rFonts w:ascii="Times New Roman" w:hAnsi="Times New Roman" w:cs="Times New Roman"/>
                <w:sz w:val="20"/>
              </w:rPr>
              <w:t>Focus groups</w:t>
            </w:r>
          </w:p>
          <w:p w:rsidR="0018367C" w:rsidRPr="00250441" w:rsidRDefault="0018367C" w:rsidP="00250441">
            <w:pPr>
              <w:pStyle w:val="NoSpacing"/>
              <w:numPr>
                <w:ilvl w:val="0"/>
                <w:numId w:val="5"/>
              </w:numPr>
              <w:rPr>
                <w:rFonts w:ascii="Times New Roman" w:hAnsi="Times New Roman" w:cs="Times New Roman"/>
                <w:sz w:val="20"/>
              </w:rPr>
            </w:pPr>
            <w:r w:rsidRPr="00250441">
              <w:rPr>
                <w:rFonts w:ascii="Times New Roman" w:hAnsi="Times New Roman" w:cs="Times New Roman"/>
                <w:sz w:val="20"/>
              </w:rPr>
              <w:t>Medical chart reviews</w:t>
            </w:r>
          </w:p>
          <w:p w:rsidR="0018367C" w:rsidRPr="00250441" w:rsidRDefault="0018367C" w:rsidP="00250441">
            <w:pPr>
              <w:pStyle w:val="NoSpacing"/>
              <w:numPr>
                <w:ilvl w:val="0"/>
                <w:numId w:val="5"/>
              </w:numPr>
              <w:rPr>
                <w:rFonts w:ascii="Times New Roman" w:hAnsi="Times New Roman" w:cs="Times New Roman"/>
                <w:sz w:val="20"/>
              </w:rPr>
            </w:pPr>
            <w:r w:rsidRPr="00250441">
              <w:rPr>
                <w:rFonts w:ascii="Times New Roman" w:hAnsi="Times New Roman" w:cs="Times New Roman"/>
                <w:sz w:val="20"/>
              </w:rPr>
              <w:t>Participant observation studies</w:t>
            </w:r>
          </w:p>
          <w:p w:rsidR="0018367C" w:rsidRPr="00250441" w:rsidRDefault="0018367C" w:rsidP="00250441">
            <w:pPr>
              <w:pStyle w:val="NoSpacing"/>
              <w:numPr>
                <w:ilvl w:val="0"/>
                <w:numId w:val="5"/>
              </w:numPr>
              <w:rPr>
                <w:rFonts w:ascii="Times New Roman" w:hAnsi="Times New Roman" w:cs="Times New Roman"/>
                <w:sz w:val="20"/>
              </w:rPr>
            </w:pPr>
            <w:r w:rsidRPr="00250441">
              <w:rPr>
                <w:rFonts w:ascii="Times New Roman" w:hAnsi="Times New Roman" w:cs="Times New Roman"/>
                <w:sz w:val="20"/>
              </w:rPr>
              <w:t>Data banks</w:t>
            </w:r>
          </w:p>
          <w:p w:rsidR="0018367C" w:rsidRPr="00407123" w:rsidRDefault="0018367C" w:rsidP="00250441">
            <w:pPr>
              <w:pStyle w:val="NoSpacing"/>
              <w:numPr>
                <w:ilvl w:val="0"/>
                <w:numId w:val="5"/>
              </w:numPr>
              <w:rPr>
                <w:rFonts w:ascii="Times New Roman" w:hAnsi="Times New Roman" w:cs="Times New Roman"/>
                <w:b/>
                <w:sz w:val="20"/>
              </w:rPr>
            </w:pPr>
            <w:r w:rsidRPr="00250441">
              <w:rPr>
                <w:rFonts w:ascii="Times New Roman" w:hAnsi="Times New Roman" w:cs="Times New Roman"/>
                <w:sz w:val="20"/>
              </w:rPr>
              <w:t>Tissue repositories</w:t>
            </w:r>
          </w:p>
        </w:tc>
      </w:tr>
    </w:tbl>
    <w:p w:rsidR="00C43131" w:rsidRDefault="00C43131" w:rsidP="00CE3396">
      <w:pPr>
        <w:pStyle w:val="NoSpacing"/>
        <w:rPr>
          <w:b/>
        </w:rPr>
      </w:pPr>
    </w:p>
    <w:p w:rsidR="001D2CF9" w:rsidRDefault="00250441" w:rsidP="007E78F8">
      <w:pPr>
        <w:pStyle w:val="NoSpacing"/>
        <w:rPr>
          <w:rStyle w:val="Hyperlink"/>
        </w:rPr>
      </w:pPr>
      <w:r w:rsidRPr="00407123">
        <w:rPr>
          <w:rFonts w:ascii="Times New Roman" w:hAnsi="Times New Roman" w:cs="Times New Roman"/>
        </w:rPr>
        <w:t xml:space="preserve">For more information visit FAU’s Research Integrity website at the following link:  </w:t>
      </w:r>
      <w:hyperlink r:id="rId6" w:history="1">
        <w:r>
          <w:rPr>
            <w:rStyle w:val="Hyperlink"/>
          </w:rPr>
          <w:t>http://www.fau.edu/research/researchint/</w:t>
        </w:r>
      </w:hyperlink>
    </w:p>
    <w:p w:rsidR="0004018A" w:rsidRDefault="0004018A" w:rsidP="007E78F8">
      <w:pPr>
        <w:pStyle w:val="NoSpacing"/>
        <w:rPr>
          <w:rFonts w:ascii="Times New Roman" w:hAnsi="Times New Roman" w:cs="Times New Roman"/>
          <w:b/>
          <w:sz w:val="24"/>
        </w:rPr>
      </w:pPr>
    </w:p>
    <w:p w:rsidR="0004018A" w:rsidRDefault="0004018A" w:rsidP="007E78F8">
      <w:pPr>
        <w:pStyle w:val="NoSpacing"/>
        <w:rPr>
          <w:rFonts w:ascii="Times New Roman" w:hAnsi="Times New Roman" w:cs="Times New Roman"/>
        </w:rPr>
      </w:pPr>
    </w:p>
    <w:p w:rsidR="00F1720A" w:rsidRPr="006713F0" w:rsidRDefault="00F1720A" w:rsidP="00F1720A">
      <w:pPr>
        <w:pStyle w:val="NoSpacing"/>
        <w:jc w:val="center"/>
        <w:rPr>
          <w:rFonts w:ascii="Times New Roman" w:hAnsi="Times New Roman" w:cs="Times New Roman"/>
          <w:b/>
          <w:sz w:val="32"/>
        </w:rPr>
      </w:pPr>
      <w:r w:rsidRPr="006713F0">
        <w:rPr>
          <w:rFonts w:ascii="Times New Roman" w:hAnsi="Times New Roman" w:cs="Times New Roman"/>
          <w:b/>
          <w:sz w:val="32"/>
        </w:rPr>
        <w:lastRenderedPageBreak/>
        <w:t xml:space="preserve">About </w:t>
      </w:r>
      <w:r>
        <w:rPr>
          <w:rFonts w:ascii="Times New Roman" w:hAnsi="Times New Roman" w:cs="Times New Roman"/>
          <w:b/>
          <w:sz w:val="32"/>
        </w:rPr>
        <w:t>EHS</w:t>
      </w:r>
    </w:p>
    <w:p w:rsidR="00F1720A" w:rsidRPr="00407123" w:rsidRDefault="00F1720A" w:rsidP="00F1720A">
      <w:pPr>
        <w:pStyle w:val="NoSpacing"/>
        <w:rPr>
          <w:rFonts w:ascii="Times New Roman" w:hAnsi="Times New Roman" w:cs="Times New Roman"/>
        </w:rPr>
      </w:pPr>
    </w:p>
    <w:p w:rsidR="00F1720A" w:rsidRDefault="00F1720A" w:rsidP="00F1720A">
      <w:pPr>
        <w:rPr>
          <w:rFonts w:ascii="Times New Roman" w:hAnsi="Times New Roman" w:cs="Times New Roman"/>
        </w:rPr>
      </w:pPr>
      <w:r w:rsidRPr="00CB0126">
        <w:rPr>
          <w:rFonts w:ascii="Times New Roman" w:hAnsi="Times New Roman" w:cs="Times New Roman"/>
        </w:rPr>
        <w:t xml:space="preserve">The goal of </w:t>
      </w:r>
      <w:r w:rsidRPr="00407123">
        <w:rPr>
          <w:rFonts w:ascii="Times New Roman" w:hAnsi="Times New Roman" w:cs="Times New Roman"/>
        </w:rPr>
        <w:t>Florida Atlantic University</w:t>
      </w:r>
      <w:r>
        <w:rPr>
          <w:rFonts w:ascii="Times New Roman" w:hAnsi="Times New Roman" w:cs="Times New Roman"/>
        </w:rPr>
        <w:t>’</w:t>
      </w:r>
      <w:r w:rsidRPr="00407123">
        <w:rPr>
          <w:rFonts w:ascii="Times New Roman" w:hAnsi="Times New Roman" w:cs="Times New Roman"/>
        </w:rPr>
        <w:t xml:space="preserve">s </w:t>
      </w:r>
      <w:hyperlink r:id="rId7" w:history="1">
        <w:r w:rsidRPr="00F32073">
          <w:rPr>
            <w:rStyle w:val="Hyperlink"/>
            <w:rFonts w:ascii="Times New Roman" w:hAnsi="Times New Roman" w:cs="Times New Roman"/>
          </w:rPr>
          <w:t>Environmental Health and Safety</w:t>
        </w:r>
      </w:hyperlink>
      <w:r w:rsidRPr="00CB0126">
        <w:rPr>
          <w:rFonts w:ascii="Times New Roman" w:hAnsi="Times New Roman" w:cs="Times New Roman"/>
        </w:rPr>
        <w:t xml:space="preserve"> is to provide and ensure a safe and healthy environment for students, faculty, staff and visitors through comprehensive service oriented programs. EH&amp;S is also the primary contact for federal, state, and local regulatory agencies regarding matters of health, safety and the environment.</w:t>
      </w:r>
      <w:r w:rsidRPr="00407123">
        <w:rPr>
          <w:rFonts w:ascii="Times New Roman" w:hAnsi="Times New Roman" w:cs="Times New Roman"/>
        </w:rPr>
        <w:t xml:space="preserve"> </w:t>
      </w:r>
      <w:r>
        <w:rPr>
          <w:rFonts w:ascii="Times New Roman" w:hAnsi="Times New Roman" w:cs="Times New Roman"/>
        </w:rPr>
        <w:t xml:space="preserve"> </w:t>
      </w:r>
    </w:p>
    <w:p w:rsidR="00F1720A" w:rsidRDefault="00F1720A" w:rsidP="00F1720A">
      <w:pPr>
        <w:rPr>
          <w:rFonts w:ascii="Times New Roman" w:hAnsi="Times New Roman" w:cs="Times New Roman"/>
        </w:rPr>
      </w:pPr>
      <w:r>
        <w:rPr>
          <w:rFonts w:ascii="Times New Roman" w:hAnsi="Times New Roman" w:cs="Times New Roman"/>
        </w:rPr>
        <w:t>With regard to Undergraduate Research,</w:t>
      </w:r>
      <w:r w:rsidRPr="002236C4">
        <w:rPr>
          <w:rFonts w:ascii="Times New Roman" w:hAnsi="Times New Roman" w:cs="Times New Roman"/>
        </w:rPr>
        <w:t xml:space="preserve"> undergraduate compliance checks will be limited to training requirements, and any occupational health program requirements, i.e. </w:t>
      </w:r>
      <w:proofErr w:type="spellStart"/>
      <w:r w:rsidRPr="002236C4">
        <w:rPr>
          <w:rFonts w:ascii="Times New Roman" w:hAnsi="Times New Roman" w:cs="Times New Roman"/>
        </w:rPr>
        <w:t>bloodborne</w:t>
      </w:r>
      <w:proofErr w:type="spellEnd"/>
      <w:r w:rsidRPr="002236C4">
        <w:rPr>
          <w:rFonts w:ascii="Times New Roman" w:hAnsi="Times New Roman" w:cs="Times New Roman"/>
        </w:rPr>
        <w:t xml:space="preserve"> pathogens (HBV vaccination), respiratory protection (doctor’s clearance), etc. related to the research to be done.</w:t>
      </w:r>
      <w:r>
        <w:rPr>
          <w:rFonts w:ascii="Times New Roman" w:hAnsi="Times New Roman" w:cs="Times New Roman"/>
        </w:rPr>
        <w:t xml:space="preserve">  Ad</w:t>
      </w:r>
      <w:r w:rsidRPr="002236C4">
        <w:rPr>
          <w:rFonts w:ascii="Times New Roman" w:hAnsi="Times New Roman" w:cs="Times New Roman"/>
        </w:rPr>
        <w:t xml:space="preserve">ditionally, during compliance checks of research laboratories </w:t>
      </w:r>
      <w:r>
        <w:rPr>
          <w:rFonts w:ascii="Times New Roman" w:hAnsi="Times New Roman" w:cs="Times New Roman"/>
        </w:rPr>
        <w:t xml:space="preserve">EH&amp;S will </w:t>
      </w:r>
      <w:r w:rsidRPr="002236C4">
        <w:rPr>
          <w:rFonts w:ascii="Times New Roman" w:hAnsi="Times New Roman" w:cs="Times New Roman"/>
        </w:rPr>
        <w:t>ask for a list of all personnel in the lab</w:t>
      </w:r>
      <w:r>
        <w:rPr>
          <w:rFonts w:ascii="Times New Roman" w:hAnsi="Times New Roman" w:cs="Times New Roman"/>
        </w:rPr>
        <w:t xml:space="preserve"> </w:t>
      </w:r>
      <w:r w:rsidRPr="002236C4">
        <w:rPr>
          <w:rFonts w:ascii="Times New Roman" w:hAnsi="Times New Roman" w:cs="Times New Roman"/>
        </w:rPr>
        <w:t>so that training status</w:t>
      </w:r>
      <w:r>
        <w:rPr>
          <w:rFonts w:ascii="Times New Roman" w:hAnsi="Times New Roman" w:cs="Times New Roman"/>
        </w:rPr>
        <w:t xml:space="preserve"> can be verified</w:t>
      </w:r>
      <w:r w:rsidRPr="002236C4">
        <w:rPr>
          <w:rFonts w:ascii="Times New Roman" w:hAnsi="Times New Roman" w:cs="Times New Roman"/>
        </w:rPr>
        <w:t xml:space="preserve">. </w:t>
      </w:r>
    </w:p>
    <w:p w:rsidR="00F1720A" w:rsidRDefault="00F1720A" w:rsidP="00F1720A">
      <w:pPr>
        <w:rPr>
          <w:rFonts w:ascii="Times New Roman" w:hAnsi="Times New Roman" w:cs="Times New Roman"/>
        </w:rPr>
      </w:pPr>
      <w:r>
        <w:rPr>
          <w:rFonts w:ascii="Times New Roman" w:hAnsi="Times New Roman" w:cs="Times New Roman"/>
        </w:rPr>
        <w:t xml:space="preserve">Many safety training courses are available through EH&amp;S to assist in developing safety skills that will help when conducting research when using animals, chemicals, biological materials and much more. </w:t>
      </w:r>
      <w:r w:rsidRPr="002236C4">
        <w:rPr>
          <w:rFonts w:ascii="Times New Roman" w:hAnsi="Times New Roman" w:cs="Times New Roman"/>
        </w:rPr>
        <w:t xml:space="preserve">For most training classes, </w:t>
      </w:r>
      <w:r>
        <w:rPr>
          <w:rFonts w:ascii="Times New Roman" w:hAnsi="Times New Roman" w:cs="Times New Roman"/>
        </w:rPr>
        <w:t>EH&amp;S</w:t>
      </w:r>
      <w:r w:rsidRPr="002236C4">
        <w:rPr>
          <w:rFonts w:ascii="Times New Roman" w:hAnsi="Times New Roman" w:cs="Times New Roman"/>
        </w:rPr>
        <w:t xml:space="preserve"> require</w:t>
      </w:r>
      <w:r>
        <w:rPr>
          <w:rFonts w:ascii="Times New Roman" w:hAnsi="Times New Roman" w:cs="Times New Roman"/>
        </w:rPr>
        <w:t>s</w:t>
      </w:r>
      <w:r w:rsidRPr="002236C4">
        <w:rPr>
          <w:rFonts w:ascii="Times New Roman" w:hAnsi="Times New Roman" w:cs="Times New Roman"/>
        </w:rPr>
        <w:t xml:space="preserve"> that initial training be done in-person in the classroom; thereafter, most refresher train</w:t>
      </w:r>
      <w:r>
        <w:rPr>
          <w:rFonts w:ascii="Times New Roman" w:hAnsi="Times New Roman" w:cs="Times New Roman"/>
        </w:rPr>
        <w:t xml:space="preserve">ing can be accomplished online. </w:t>
      </w:r>
      <w:r w:rsidRPr="002236C4">
        <w:rPr>
          <w:rFonts w:ascii="Times New Roman" w:hAnsi="Times New Roman" w:cs="Times New Roman"/>
        </w:rPr>
        <w:t xml:space="preserve">Unless it is an extreme hardship, online training </w:t>
      </w:r>
      <w:r>
        <w:rPr>
          <w:rFonts w:ascii="Times New Roman" w:hAnsi="Times New Roman" w:cs="Times New Roman"/>
        </w:rPr>
        <w:t>will not be allowed prior to</w:t>
      </w:r>
      <w:r w:rsidRPr="002236C4">
        <w:rPr>
          <w:rFonts w:ascii="Times New Roman" w:hAnsi="Times New Roman" w:cs="Times New Roman"/>
        </w:rPr>
        <w:t xml:space="preserve"> classroom training; however, </w:t>
      </w:r>
      <w:r>
        <w:rPr>
          <w:rFonts w:ascii="Times New Roman" w:hAnsi="Times New Roman" w:cs="Times New Roman"/>
        </w:rPr>
        <w:t>approval</w:t>
      </w:r>
      <w:r w:rsidRPr="002236C4">
        <w:rPr>
          <w:rFonts w:ascii="Times New Roman" w:hAnsi="Times New Roman" w:cs="Times New Roman"/>
        </w:rPr>
        <w:t xml:space="preserve"> </w:t>
      </w:r>
      <w:r>
        <w:rPr>
          <w:rFonts w:ascii="Times New Roman" w:hAnsi="Times New Roman" w:cs="Times New Roman"/>
        </w:rPr>
        <w:t xml:space="preserve">of </w:t>
      </w:r>
      <w:r w:rsidRPr="002236C4">
        <w:rPr>
          <w:rFonts w:ascii="Times New Roman" w:hAnsi="Times New Roman" w:cs="Times New Roman"/>
        </w:rPr>
        <w:t>the project</w:t>
      </w:r>
      <w:r>
        <w:rPr>
          <w:rFonts w:ascii="Times New Roman" w:hAnsi="Times New Roman" w:cs="Times New Roman"/>
        </w:rPr>
        <w:t xml:space="preserve"> can be granted</w:t>
      </w:r>
      <w:r w:rsidRPr="002236C4">
        <w:rPr>
          <w:rFonts w:ascii="Times New Roman" w:hAnsi="Times New Roman" w:cs="Times New Roman"/>
        </w:rPr>
        <w:t xml:space="preserve"> upon the individual registering for the next available required classroom training(s).</w:t>
      </w:r>
      <w:r>
        <w:rPr>
          <w:rFonts w:ascii="Times New Roman" w:hAnsi="Times New Roman" w:cs="Times New Roman"/>
        </w:rPr>
        <w:t xml:space="preserve">  The descriptions of the </w:t>
      </w:r>
      <w:hyperlink r:id="rId8" w:history="1">
        <w:r w:rsidRPr="001F1B7B">
          <w:rPr>
            <w:rStyle w:val="Hyperlink"/>
            <w:rFonts w:ascii="Times New Roman" w:hAnsi="Times New Roman" w:cs="Times New Roman"/>
          </w:rPr>
          <w:t>training programs</w:t>
        </w:r>
      </w:hyperlink>
      <w:r>
        <w:rPr>
          <w:rFonts w:ascii="Times New Roman" w:hAnsi="Times New Roman" w:cs="Times New Roman"/>
        </w:rPr>
        <w:t xml:space="preserve"> are available on the website.</w:t>
      </w:r>
    </w:p>
    <w:p w:rsidR="00F1720A" w:rsidRPr="0004018A" w:rsidRDefault="00F1720A" w:rsidP="007E78F8">
      <w:pPr>
        <w:pStyle w:val="NoSpacing"/>
        <w:rPr>
          <w:rFonts w:ascii="Times New Roman" w:hAnsi="Times New Roman" w:cs="Times New Roman"/>
        </w:rPr>
      </w:pPr>
    </w:p>
    <w:sectPr w:rsidR="00F1720A" w:rsidRPr="00040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2A21"/>
    <w:multiLevelType w:val="hybridMultilevel"/>
    <w:tmpl w:val="EE3C0256"/>
    <w:lvl w:ilvl="0" w:tplc="D6228216">
      <w:start w:val="1"/>
      <w:numFmt w:val="bullet"/>
      <w:lvlText w:val="•"/>
      <w:lvlJc w:val="left"/>
      <w:pPr>
        <w:tabs>
          <w:tab w:val="num" w:pos="720"/>
        </w:tabs>
        <w:ind w:left="720" w:hanging="360"/>
      </w:pPr>
      <w:rPr>
        <w:rFonts w:ascii="Arial" w:hAnsi="Arial" w:hint="default"/>
      </w:rPr>
    </w:lvl>
    <w:lvl w:ilvl="1" w:tplc="E53AA1F4" w:tentative="1">
      <w:start w:val="1"/>
      <w:numFmt w:val="bullet"/>
      <w:lvlText w:val="•"/>
      <w:lvlJc w:val="left"/>
      <w:pPr>
        <w:tabs>
          <w:tab w:val="num" w:pos="1440"/>
        </w:tabs>
        <w:ind w:left="1440" w:hanging="360"/>
      </w:pPr>
      <w:rPr>
        <w:rFonts w:ascii="Arial" w:hAnsi="Arial" w:hint="default"/>
      </w:rPr>
    </w:lvl>
    <w:lvl w:ilvl="2" w:tplc="AEFC9CBA" w:tentative="1">
      <w:start w:val="1"/>
      <w:numFmt w:val="bullet"/>
      <w:lvlText w:val="•"/>
      <w:lvlJc w:val="left"/>
      <w:pPr>
        <w:tabs>
          <w:tab w:val="num" w:pos="2160"/>
        </w:tabs>
        <w:ind w:left="2160" w:hanging="360"/>
      </w:pPr>
      <w:rPr>
        <w:rFonts w:ascii="Arial" w:hAnsi="Arial" w:hint="default"/>
      </w:rPr>
    </w:lvl>
    <w:lvl w:ilvl="3" w:tplc="2EB653D8" w:tentative="1">
      <w:start w:val="1"/>
      <w:numFmt w:val="bullet"/>
      <w:lvlText w:val="•"/>
      <w:lvlJc w:val="left"/>
      <w:pPr>
        <w:tabs>
          <w:tab w:val="num" w:pos="2880"/>
        </w:tabs>
        <w:ind w:left="2880" w:hanging="360"/>
      </w:pPr>
      <w:rPr>
        <w:rFonts w:ascii="Arial" w:hAnsi="Arial" w:hint="default"/>
      </w:rPr>
    </w:lvl>
    <w:lvl w:ilvl="4" w:tplc="FFD2D910" w:tentative="1">
      <w:start w:val="1"/>
      <w:numFmt w:val="bullet"/>
      <w:lvlText w:val="•"/>
      <w:lvlJc w:val="left"/>
      <w:pPr>
        <w:tabs>
          <w:tab w:val="num" w:pos="3600"/>
        </w:tabs>
        <w:ind w:left="3600" w:hanging="360"/>
      </w:pPr>
      <w:rPr>
        <w:rFonts w:ascii="Arial" w:hAnsi="Arial" w:hint="default"/>
      </w:rPr>
    </w:lvl>
    <w:lvl w:ilvl="5" w:tplc="F85EB54E" w:tentative="1">
      <w:start w:val="1"/>
      <w:numFmt w:val="bullet"/>
      <w:lvlText w:val="•"/>
      <w:lvlJc w:val="left"/>
      <w:pPr>
        <w:tabs>
          <w:tab w:val="num" w:pos="4320"/>
        </w:tabs>
        <w:ind w:left="4320" w:hanging="360"/>
      </w:pPr>
      <w:rPr>
        <w:rFonts w:ascii="Arial" w:hAnsi="Arial" w:hint="default"/>
      </w:rPr>
    </w:lvl>
    <w:lvl w:ilvl="6" w:tplc="19343108" w:tentative="1">
      <w:start w:val="1"/>
      <w:numFmt w:val="bullet"/>
      <w:lvlText w:val="•"/>
      <w:lvlJc w:val="left"/>
      <w:pPr>
        <w:tabs>
          <w:tab w:val="num" w:pos="5040"/>
        </w:tabs>
        <w:ind w:left="5040" w:hanging="360"/>
      </w:pPr>
      <w:rPr>
        <w:rFonts w:ascii="Arial" w:hAnsi="Arial" w:hint="default"/>
      </w:rPr>
    </w:lvl>
    <w:lvl w:ilvl="7" w:tplc="87622946" w:tentative="1">
      <w:start w:val="1"/>
      <w:numFmt w:val="bullet"/>
      <w:lvlText w:val="•"/>
      <w:lvlJc w:val="left"/>
      <w:pPr>
        <w:tabs>
          <w:tab w:val="num" w:pos="5760"/>
        </w:tabs>
        <w:ind w:left="5760" w:hanging="360"/>
      </w:pPr>
      <w:rPr>
        <w:rFonts w:ascii="Arial" w:hAnsi="Arial" w:hint="default"/>
      </w:rPr>
    </w:lvl>
    <w:lvl w:ilvl="8" w:tplc="EEAE1510" w:tentative="1">
      <w:start w:val="1"/>
      <w:numFmt w:val="bullet"/>
      <w:lvlText w:val="•"/>
      <w:lvlJc w:val="left"/>
      <w:pPr>
        <w:tabs>
          <w:tab w:val="num" w:pos="6480"/>
        </w:tabs>
        <w:ind w:left="6480" w:hanging="360"/>
      </w:pPr>
      <w:rPr>
        <w:rFonts w:ascii="Arial" w:hAnsi="Arial" w:hint="default"/>
      </w:rPr>
    </w:lvl>
  </w:abstractNum>
  <w:abstractNum w:abstractNumId="1">
    <w:nsid w:val="21754395"/>
    <w:multiLevelType w:val="hybridMultilevel"/>
    <w:tmpl w:val="CFF4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81AC6"/>
    <w:multiLevelType w:val="hybridMultilevel"/>
    <w:tmpl w:val="8702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4C3E7A"/>
    <w:multiLevelType w:val="hybridMultilevel"/>
    <w:tmpl w:val="EA62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24710A"/>
    <w:multiLevelType w:val="hybridMultilevel"/>
    <w:tmpl w:val="BC30F282"/>
    <w:lvl w:ilvl="0" w:tplc="FFA64616">
      <w:start w:val="1"/>
      <w:numFmt w:val="bullet"/>
      <w:lvlText w:val="•"/>
      <w:lvlJc w:val="left"/>
      <w:pPr>
        <w:tabs>
          <w:tab w:val="num" w:pos="720"/>
        </w:tabs>
        <w:ind w:left="720" w:hanging="360"/>
      </w:pPr>
      <w:rPr>
        <w:rFonts w:ascii="Arial" w:hAnsi="Arial" w:hint="default"/>
      </w:rPr>
    </w:lvl>
    <w:lvl w:ilvl="1" w:tplc="1BAA893C" w:tentative="1">
      <w:start w:val="1"/>
      <w:numFmt w:val="bullet"/>
      <w:lvlText w:val="•"/>
      <w:lvlJc w:val="left"/>
      <w:pPr>
        <w:tabs>
          <w:tab w:val="num" w:pos="1440"/>
        </w:tabs>
        <w:ind w:left="1440" w:hanging="360"/>
      </w:pPr>
      <w:rPr>
        <w:rFonts w:ascii="Arial" w:hAnsi="Arial" w:hint="default"/>
      </w:rPr>
    </w:lvl>
    <w:lvl w:ilvl="2" w:tplc="6C3EE49C" w:tentative="1">
      <w:start w:val="1"/>
      <w:numFmt w:val="bullet"/>
      <w:lvlText w:val="•"/>
      <w:lvlJc w:val="left"/>
      <w:pPr>
        <w:tabs>
          <w:tab w:val="num" w:pos="2160"/>
        </w:tabs>
        <w:ind w:left="2160" w:hanging="360"/>
      </w:pPr>
      <w:rPr>
        <w:rFonts w:ascii="Arial" w:hAnsi="Arial" w:hint="default"/>
      </w:rPr>
    </w:lvl>
    <w:lvl w:ilvl="3" w:tplc="FA1C9024" w:tentative="1">
      <w:start w:val="1"/>
      <w:numFmt w:val="bullet"/>
      <w:lvlText w:val="•"/>
      <w:lvlJc w:val="left"/>
      <w:pPr>
        <w:tabs>
          <w:tab w:val="num" w:pos="2880"/>
        </w:tabs>
        <w:ind w:left="2880" w:hanging="360"/>
      </w:pPr>
      <w:rPr>
        <w:rFonts w:ascii="Arial" w:hAnsi="Arial" w:hint="default"/>
      </w:rPr>
    </w:lvl>
    <w:lvl w:ilvl="4" w:tplc="52643FB2" w:tentative="1">
      <w:start w:val="1"/>
      <w:numFmt w:val="bullet"/>
      <w:lvlText w:val="•"/>
      <w:lvlJc w:val="left"/>
      <w:pPr>
        <w:tabs>
          <w:tab w:val="num" w:pos="3600"/>
        </w:tabs>
        <w:ind w:left="3600" w:hanging="360"/>
      </w:pPr>
      <w:rPr>
        <w:rFonts w:ascii="Arial" w:hAnsi="Arial" w:hint="default"/>
      </w:rPr>
    </w:lvl>
    <w:lvl w:ilvl="5" w:tplc="EA3ED6D2" w:tentative="1">
      <w:start w:val="1"/>
      <w:numFmt w:val="bullet"/>
      <w:lvlText w:val="•"/>
      <w:lvlJc w:val="left"/>
      <w:pPr>
        <w:tabs>
          <w:tab w:val="num" w:pos="4320"/>
        </w:tabs>
        <w:ind w:left="4320" w:hanging="360"/>
      </w:pPr>
      <w:rPr>
        <w:rFonts w:ascii="Arial" w:hAnsi="Arial" w:hint="default"/>
      </w:rPr>
    </w:lvl>
    <w:lvl w:ilvl="6" w:tplc="CFDCBCFA" w:tentative="1">
      <w:start w:val="1"/>
      <w:numFmt w:val="bullet"/>
      <w:lvlText w:val="•"/>
      <w:lvlJc w:val="left"/>
      <w:pPr>
        <w:tabs>
          <w:tab w:val="num" w:pos="5040"/>
        </w:tabs>
        <w:ind w:left="5040" w:hanging="360"/>
      </w:pPr>
      <w:rPr>
        <w:rFonts w:ascii="Arial" w:hAnsi="Arial" w:hint="default"/>
      </w:rPr>
    </w:lvl>
    <w:lvl w:ilvl="7" w:tplc="52D8B4E0" w:tentative="1">
      <w:start w:val="1"/>
      <w:numFmt w:val="bullet"/>
      <w:lvlText w:val="•"/>
      <w:lvlJc w:val="left"/>
      <w:pPr>
        <w:tabs>
          <w:tab w:val="num" w:pos="5760"/>
        </w:tabs>
        <w:ind w:left="5760" w:hanging="360"/>
      </w:pPr>
      <w:rPr>
        <w:rFonts w:ascii="Arial" w:hAnsi="Arial" w:hint="default"/>
      </w:rPr>
    </w:lvl>
    <w:lvl w:ilvl="8" w:tplc="A578731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96"/>
    <w:rsid w:val="00005237"/>
    <w:rsid w:val="0004018A"/>
    <w:rsid w:val="00057ABF"/>
    <w:rsid w:val="0007435B"/>
    <w:rsid w:val="00122496"/>
    <w:rsid w:val="0018367C"/>
    <w:rsid w:val="001D2CF9"/>
    <w:rsid w:val="001E5329"/>
    <w:rsid w:val="00250441"/>
    <w:rsid w:val="002978D6"/>
    <w:rsid w:val="002E176B"/>
    <w:rsid w:val="00351708"/>
    <w:rsid w:val="00407123"/>
    <w:rsid w:val="005417A5"/>
    <w:rsid w:val="006713F0"/>
    <w:rsid w:val="00767043"/>
    <w:rsid w:val="007E78F8"/>
    <w:rsid w:val="008156C6"/>
    <w:rsid w:val="00866CB2"/>
    <w:rsid w:val="0089784C"/>
    <w:rsid w:val="008A5276"/>
    <w:rsid w:val="009C5BFC"/>
    <w:rsid w:val="00A31ECC"/>
    <w:rsid w:val="00C27E53"/>
    <w:rsid w:val="00C43131"/>
    <w:rsid w:val="00CE3396"/>
    <w:rsid w:val="00E30D8B"/>
    <w:rsid w:val="00F1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396"/>
    <w:pPr>
      <w:spacing w:after="0" w:line="240" w:lineRule="auto"/>
    </w:pPr>
  </w:style>
  <w:style w:type="character" w:styleId="Hyperlink">
    <w:name w:val="Hyperlink"/>
    <w:basedOn w:val="DefaultParagraphFont"/>
    <w:uiPriority w:val="99"/>
    <w:semiHidden/>
    <w:unhideWhenUsed/>
    <w:rsid w:val="00CE3396"/>
    <w:rPr>
      <w:color w:val="0000FF"/>
      <w:u w:val="single"/>
    </w:rPr>
  </w:style>
  <w:style w:type="table" w:styleId="TableGrid">
    <w:name w:val="Table Grid"/>
    <w:basedOn w:val="TableNormal"/>
    <w:uiPriority w:val="59"/>
    <w:rsid w:val="00CE3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396"/>
    <w:pPr>
      <w:spacing w:after="0" w:line="240" w:lineRule="auto"/>
    </w:pPr>
  </w:style>
  <w:style w:type="character" w:styleId="Hyperlink">
    <w:name w:val="Hyperlink"/>
    <w:basedOn w:val="DefaultParagraphFont"/>
    <w:uiPriority w:val="99"/>
    <w:semiHidden/>
    <w:unhideWhenUsed/>
    <w:rsid w:val="00CE3396"/>
    <w:rPr>
      <w:color w:val="0000FF"/>
      <w:u w:val="single"/>
    </w:rPr>
  </w:style>
  <w:style w:type="table" w:styleId="TableGrid">
    <w:name w:val="Table Grid"/>
    <w:basedOn w:val="TableNormal"/>
    <w:uiPriority w:val="59"/>
    <w:rsid w:val="00CE3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6602">
      <w:bodyDiv w:val="1"/>
      <w:marLeft w:val="0"/>
      <w:marRight w:val="0"/>
      <w:marTop w:val="0"/>
      <w:marBottom w:val="0"/>
      <w:divBdr>
        <w:top w:val="none" w:sz="0" w:space="0" w:color="auto"/>
        <w:left w:val="none" w:sz="0" w:space="0" w:color="auto"/>
        <w:bottom w:val="none" w:sz="0" w:space="0" w:color="auto"/>
        <w:right w:val="none" w:sz="0" w:space="0" w:color="auto"/>
      </w:divBdr>
      <w:divsChild>
        <w:div w:id="1530995806">
          <w:marLeft w:val="274"/>
          <w:marRight w:val="0"/>
          <w:marTop w:val="0"/>
          <w:marBottom w:val="0"/>
          <w:divBdr>
            <w:top w:val="none" w:sz="0" w:space="0" w:color="auto"/>
            <w:left w:val="none" w:sz="0" w:space="0" w:color="auto"/>
            <w:bottom w:val="none" w:sz="0" w:space="0" w:color="auto"/>
            <w:right w:val="none" w:sz="0" w:space="0" w:color="auto"/>
          </w:divBdr>
        </w:div>
        <w:div w:id="307907345">
          <w:marLeft w:val="274"/>
          <w:marRight w:val="0"/>
          <w:marTop w:val="0"/>
          <w:marBottom w:val="0"/>
          <w:divBdr>
            <w:top w:val="none" w:sz="0" w:space="0" w:color="auto"/>
            <w:left w:val="none" w:sz="0" w:space="0" w:color="auto"/>
            <w:bottom w:val="none" w:sz="0" w:space="0" w:color="auto"/>
            <w:right w:val="none" w:sz="0" w:space="0" w:color="auto"/>
          </w:divBdr>
        </w:div>
        <w:div w:id="1446346297">
          <w:marLeft w:val="274"/>
          <w:marRight w:val="0"/>
          <w:marTop w:val="0"/>
          <w:marBottom w:val="0"/>
          <w:divBdr>
            <w:top w:val="none" w:sz="0" w:space="0" w:color="auto"/>
            <w:left w:val="none" w:sz="0" w:space="0" w:color="auto"/>
            <w:bottom w:val="none" w:sz="0" w:space="0" w:color="auto"/>
            <w:right w:val="none" w:sz="0" w:space="0" w:color="auto"/>
          </w:divBdr>
        </w:div>
        <w:div w:id="79891461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facilities/ehs/training/index.php" TargetMode="External"/><Relationship Id="rId3" Type="http://schemas.microsoft.com/office/2007/relationships/stylesWithEffects" Target="stylesWithEffects.xml"/><Relationship Id="rId7" Type="http://schemas.openxmlformats.org/officeDocument/2006/relationships/hyperlink" Target="http://www.fau.edu/facilities/e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research/researchi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Lindsay</dc:creator>
  <cp:lastModifiedBy>Donna Chamely-Wiik</cp:lastModifiedBy>
  <cp:revision>2</cp:revision>
  <dcterms:created xsi:type="dcterms:W3CDTF">2013-06-25T18:29:00Z</dcterms:created>
  <dcterms:modified xsi:type="dcterms:W3CDTF">2013-06-25T18:29:00Z</dcterms:modified>
</cp:coreProperties>
</file>