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958BBF" w14:textId="58D93FFC" w:rsidR="00F23401" w:rsidRPr="000C62D6" w:rsidRDefault="00F23401" w:rsidP="00F23401">
      <w:pPr>
        <w:spacing w:line="240" w:lineRule="auto"/>
        <w:jc w:val="center"/>
        <w:rPr>
          <w:rFonts w:ascii="Arial" w:eastAsia="Arial" w:hAnsi="Arial" w:cs="Arial"/>
          <w:b/>
          <w:sz w:val="24"/>
          <w:szCs w:val="24"/>
        </w:rPr>
      </w:pPr>
      <w:bookmarkStart w:id="0" w:name="_GoBack"/>
      <w:bookmarkEnd w:id="0"/>
      <w:r w:rsidRPr="000C62D6">
        <w:rPr>
          <w:rFonts w:ascii="Arial" w:eastAsia="Arial" w:hAnsi="Arial" w:cs="Arial"/>
          <w:b/>
          <w:sz w:val="24"/>
          <w:szCs w:val="24"/>
        </w:rPr>
        <w:t xml:space="preserve">FLORIDA ATLANTIC UNIVERSITY- </w:t>
      </w:r>
      <w:r w:rsidR="004C7BF5">
        <w:rPr>
          <w:rFonts w:ascii="Arial" w:eastAsia="Arial" w:hAnsi="Arial" w:cs="Arial"/>
          <w:b/>
          <w:sz w:val="24"/>
          <w:szCs w:val="24"/>
        </w:rPr>
        <w:t>HEALTH RELATED ASSETS</w:t>
      </w:r>
    </w:p>
    <w:p w14:paraId="3B1EE322" w14:textId="77777777" w:rsidR="00F23401" w:rsidRPr="000C62D6" w:rsidRDefault="00F23401" w:rsidP="00F23401">
      <w:pPr>
        <w:spacing w:line="240" w:lineRule="auto"/>
        <w:rPr>
          <w:rFonts w:ascii="Arial" w:eastAsia="Arial" w:hAnsi="Arial" w:cs="Arial"/>
          <w:b/>
          <w:sz w:val="24"/>
          <w:szCs w:val="24"/>
        </w:rPr>
      </w:pPr>
    </w:p>
    <w:p w14:paraId="2AFC6F26" w14:textId="77777777" w:rsidR="00F23401" w:rsidRPr="000C62D6" w:rsidRDefault="00F23401" w:rsidP="00F23401">
      <w:pPr>
        <w:spacing w:line="240" w:lineRule="auto"/>
        <w:rPr>
          <w:rFonts w:ascii="Arial" w:eastAsia="Arial" w:hAnsi="Arial" w:cs="Arial"/>
          <w:b/>
          <w:sz w:val="24"/>
          <w:szCs w:val="24"/>
          <w:u w:val="single"/>
        </w:rPr>
      </w:pPr>
      <w:r w:rsidRPr="000C62D6">
        <w:rPr>
          <w:rFonts w:ascii="Arial" w:eastAsia="Arial" w:hAnsi="Arial" w:cs="Arial"/>
          <w:b/>
          <w:sz w:val="24"/>
          <w:szCs w:val="24"/>
          <w:u w:val="single"/>
        </w:rPr>
        <w:t>Overview</w:t>
      </w:r>
    </w:p>
    <w:p w14:paraId="0CE17370" w14:textId="08C27AF4" w:rsidR="001B314D" w:rsidRPr="000C62D6" w:rsidRDefault="00F23401" w:rsidP="001B314D">
      <w:pPr>
        <w:jc w:val="both"/>
        <w:rPr>
          <w:rFonts w:ascii="Arial" w:eastAsia="Arial" w:hAnsi="Arial" w:cs="Arial"/>
          <w:sz w:val="24"/>
          <w:szCs w:val="24"/>
        </w:rPr>
      </w:pPr>
      <w:r w:rsidRPr="000C62D6">
        <w:rPr>
          <w:rFonts w:ascii="Arial" w:eastAsia="Arial" w:hAnsi="Arial" w:cs="Arial"/>
          <w:sz w:val="24"/>
          <w:szCs w:val="24"/>
        </w:rPr>
        <w:t xml:space="preserve">Florida Atlantic University (FAU) is designated </w:t>
      </w:r>
      <w:r w:rsidR="005627AF" w:rsidRPr="000C62D6">
        <w:rPr>
          <w:rFonts w:ascii="Arial" w:eastAsia="Arial" w:hAnsi="Arial" w:cs="Arial"/>
          <w:sz w:val="24"/>
          <w:szCs w:val="24"/>
        </w:rPr>
        <w:t xml:space="preserve">as </w:t>
      </w:r>
      <w:r w:rsidRPr="000C62D6">
        <w:rPr>
          <w:rFonts w:ascii="Arial" w:eastAsia="Arial" w:hAnsi="Arial" w:cs="Arial"/>
          <w:sz w:val="24"/>
          <w:szCs w:val="24"/>
        </w:rPr>
        <w:t xml:space="preserve">a “High Research Activity” institution according to The Carnegie Classification of Institutions of Higher Education. In fiscal year 2020, the university received $63.2M in grant awards. In alignment with the University’s Strategic Plan (2015 – 2025), the university has outlined four “pillars” of research strength:  human health and disease intervention, </w:t>
      </w:r>
      <w:r w:rsidRPr="000C62D6">
        <w:rPr>
          <w:rFonts w:ascii="Arial" w:eastAsia="Arial" w:hAnsi="Arial" w:cs="Arial"/>
          <w:b/>
          <w:bCs/>
          <w:i/>
          <w:iCs/>
          <w:sz w:val="24"/>
          <w:szCs w:val="24"/>
        </w:rPr>
        <w:t>neuroscience</w:t>
      </w:r>
      <w:r w:rsidRPr="000C62D6">
        <w:rPr>
          <w:rFonts w:ascii="Arial" w:eastAsia="Arial" w:hAnsi="Arial" w:cs="Arial"/>
          <w:sz w:val="24"/>
          <w:szCs w:val="24"/>
        </w:rPr>
        <w:t xml:space="preserve">, ocean science/engineering, and </w:t>
      </w:r>
      <w:r w:rsidRPr="000C62D6">
        <w:rPr>
          <w:rFonts w:ascii="Arial" w:eastAsia="Arial" w:hAnsi="Arial" w:cs="Arial"/>
          <w:b/>
          <w:bCs/>
          <w:i/>
          <w:iCs/>
          <w:sz w:val="24"/>
          <w:szCs w:val="24"/>
        </w:rPr>
        <w:t>sensing and smart systems</w:t>
      </w:r>
      <w:r w:rsidRPr="000C62D6">
        <w:rPr>
          <w:rFonts w:ascii="Arial" w:eastAsia="Arial" w:hAnsi="Arial" w:cs="Arial"/>
          <w:sz w:val="24"/>
          <w:szCs w:val="24"/>
        </w:rPr>
        <w:t xml:space="preserve">. These pillars represent focus areas that guide institutional goals and strategic actions, and they closely reflect FAU’s existing regional and national strengths, including its coastal location, diverse population, and neighboring research institutions. </w:t>
      </w:r>
      <w:r w:rsidR="001B314D" w:rsidRPr="000C62D6">
        <w:rPr>
          <w:rFonts w:ascii="Arial" w:eastAsia="Arial" w:hAnsi="Arial" w:cs="Arial"/>
          <w:sz w:val="24"/>
          <w:szCs w:val="24"/>
        </w:rPr>
        <w:t xml:space="preserve">Inspired by the U.S. Brain Initiative, our neuroscience pillar I-BRAIN is an outgrowth of a core principle outlined in FAU’s 2015-2025 Strategic Plan: the </w:t>
      </w:r>
      <w:r w:rsidR="001B314D" w:rsidRPr="000C62D6">
        <w:rPr>
          <w:rFonts w:ascii="Arial" w:eastAsia="Arial" w:hAnsi="Arial" w:cs="Arial"/>
          <w:i/>
          <w:sz w:val="24"/>
          <w:szCs w:val="24"/>
        </w:rPr>
        <w:t>transformative potential of neuroscience</w:t>
      </w:r>
      <w:r w:rsidR="001B314D" w:rsidRPr="000C62D6">
        <w:rPr>
          <w:rFonts w:ascii="Arial" w:eastAsia="Arial" w:hAnsi="Arial" w:cs="Arial"/>
          <w:sz w:val="24"/>
          <w:szCs w:val="24"/>
        </w:rPr>
        <w:t xml:space="preserve"> to unravel addiction, dementia, psychiatric illnesses, communication disorders, spinal cord injuries, and a host of other complex conditions. Collectively, I-BRAIN’s 100+ faculty and affiliates are creating a synergistic hub for neuroscience in South Florida that supports state-of-the-art research and innovative educational activities focused on neuroscience. </w:t>
      </w:r>
      <w:r w:rsidR="005336CD" w:rsidRPr="000C62D6">
        <w:rPr>
          <w:rFonts w:ascii="Arial" w:eastAsia="Arial" w:hAnsi="Arial" w:cs="Arial"/>
          <w:sz w:val="24"/>
          <w:szCs w:val="24"/>
        </w:rPr>
        <w:t>Additionally, the Institute for Sensing and Embedded Network Systems Engineering (I-SENSE) Embedded Networking Laboratory provides access to more than 200 wireless sensing platforms, 300 platform peripherals, and a large collection of electronics components selected to support rapid prototyping of sensing systems. The laboratory also provides basic support for electronics prototyping and repair. </w:t>
      </w:r>
      <w:r w:rsidRPr="000C62D6">
        <w:rPr>
          <w:rFonts w:ascii="Arial" w:eastAsia="Arial" w:hAnsi="Arial" w:cs="Arial"/>
          <w:sz w:val="24"/>
          <w:szCs w:val="24"/>
        </w:rPr>
        <w:t>Recognizing the university’s commitment to sharing research findings with its community, FAU recently received the Carnegie Designation for Community Engagement, an elective designation that indicates institutional commitment to community engagement.</w:t>
      </w:r>
      <w:r w:rsidR="00682C6A" w:rsidRPr="000C62D6">
        <w:rPr>
          <w:rFonts w:ascii="Arial" w:eastAsia="Arial" w:hAnsi="Arial" w:cs="Arial"/>
          <w:sz w:val="24"/>
          <w:szCs w:val="24"/>
        </w:rPr>
        <w:t xml:space="preserve"> </w:t>
      </w:r>
      <w:r w:rsidR="00682C6A" w:rsidRPr="000C62D6">
        <w:rPr>
          <w:rFonts w:ascii="Arial" w:hAnsi="Arial" w:cs="Arial"/>
          <w:sz w:val="24"/>
          <w:szCs w:val="24"/>
        </w:rPr>
        <w:t>Several funded research experiences are also available for undergraduates, including an NSF-funded LEARN grant that develops research-based curriculum, an NSF-funded REU program that aims to diversify science by providing summer research for undergraduates around the country, and an NIH-funded URISE grant that fosters diversity in the emerging biomedical workforce. Also, dedicated to continuing student success, the Graduate College works closely with academic colleges, graduate students, and graduate faculty to offer advanced degrees in 73 master’s, 5 specialist, and 25 doctoral degree programs. Within the Florida State University System, FAU students rank second for percentage of graduates employed in the state of Florida at the master’s level (82%) and third at the doctoral level (18%).</w:t>
      </w:r>
      <w:r w:rsidR="009B47E3" w:rsidRPr="000C62D6">
        <w:rPr>
          <w:rFonts w:ascii="Arial" w:eastAsia="Arial" w:hAnsi="Arial" w:cs="Arial"/>
          <w:sz w:val="24"/>
          <w:szCs w:val="24"/>
        </w:rPr>
        <w:t xml:space="preserve"> </w:t>
      </w:r>
    </w:p>
    <w:p w14:paraId="3140D43B" w14:textId="05ABFF78" w:rsidR="00F23401" w:rsidRPr="000C62D6" w:rsidRDefault="00127801" w:rsidP="00F23401">
      <w:pPr>
        <w:spacing w:line="240" w:lineRule="auto"/>
        <w:rPr>
          <w:rFonts w:ascii="Arial" w:eastAsia="Arial" w:hAnsi="Arial" w:cs="Arial"/>
          <w:sz w:val="24"/>
          <w:szCs w:val="24"/>
        </w:rPr>
      </w:pPr>
      <w:r w:rsidRPr="000C62D6">
        <w:rPr>
          <w:rFonts w:ascii="Arial" w:hAnsi="Arial" w:cs="Arial"/>
          <w:noProof/>
          <w:sz w:val="24"/>
          <w:szCs w:val="24"/>
        </w:rPr>
        <w:t xml:space="preserve">                              </w:t>
      </w:r>
      <w:r w:rsidRPr="000C62D6">
        <w:rPr>
          <w:rFonts w:ascii="Arial" w:eastAsia="Arial" w:hAnsi="Arial" w:cs="Arial"/>
          <w:noProof/>
          <w:sz w:val="24"/>
          <w:szCs w:val="24"/>
        </w:rPr>
        <w:drawing>
          <wp:inline distT="0" distB="0" distL="0" distR="0" wp14:anchorId="29538CEC" wp14:editId="55B1BB2F">
            <wp:extent cx="4040927" cy="2693951"/>
            <wp:effectExtent l="0" t="0" r="0" b="0"/>
            <wp:docPr id="3" name="Picture 2" descr="A sign with palm trees and a building in the background&#10;&#10;Description automatically generated with low confidence">
              <a:extLst xmlns:a="http://schemas.openxmlformats.org/drawingml/2006/main">
                <a:ext uri="{FF2B5EF4-FFF2-40B4-BE49-F238E27FC236}">
                  <a16:creationId xmlns:a16="http://schemas.microsoft.com/office/drawing/2014/main" id="{5CCC9B5D-D521-4F6D-AF35-0EBB9F02B3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ign with palm trees and a building in the background&#10;&#10;Description automatically generated with low confidence">
                      <a:extLst>
                        <a:ext uri="{FF2B5EF4-FFF2-40B4-BE49-F238E27FC236}">
                          <a16:creationId xmlns:a16="http://schemas.microsoft.com/office/drawing/2014/main" id="{5CCC9B5D-D521-4F6D-AF35-0EBB9F02B3E6}"/>
                        </a:ext>
                      </a:extLst>
                    </pic:cNvPr>
                    <pic:cNvPicPr>
                      <a:picLocks noChangeAspect="1"/>
                    </pic:cNvPicPr>
                  </pic:nvPicPr>
                  <pic:blipFill>
                    <a:blip r:embed="rId10"/>
                    <a:stretch>
                      <a:fillRect/>
                    </a:stretch>
                  </pic:blipFill>
                  <pic:spPr>
                    <a:xfrm>
                      <a:off x="0" y="0"/>
                      <a:ext cx="4062502" cy="2708335"/>
                    </a:xfrm>
                    <a:prstGeom prst="rect">
                      <a:avLst/>
                    </a:prstGeom>
                  </pic:spPr>
                </pic:pic>
              </a:graphicData>
            </a:graphic>
          </wp:inline>
        </w:drawing>
      </w:r>
      <w:r w:rsidRPr="000C62D6">
        <w:rPr>
          <w:rFonts w:ascii="Arial" w:hAnsi="Arial" w:cs="Arial"/>
          <w:noProof/>
          <w:sz w:val="24"/>
          <w:szCs w:val="24"/>
        </w:rPr>
        <w:t xml:space="preserve"> </w:t>
      </w:r>
    </w:p>
    <w:p w14:paraId="1F1AA398" w14:textId="6266E5A8" w:rsidR="00F23401" w:rsidRPr="000C62D6" w:rsidRDefault="00AB74D5" w:rsidP="000C62D6">
      <w:pPr>
        <w:spacing w:line="240" w:lineRule="auto"/>
        <w:jc w:val="both"/>
        <w:rPr>
          <w:rFonts w:ascii="Arial" w:eastAsia="Arial" w:hAnsi="Arial" w:cs="Arial"/>
          <w:b/>
          <w:sz w:val="24"/>
          <w:szCs w:val="24"/>
          <w:u w:val="single"/>
        </w:rPr>
      </w:pPr>
      <w:r>
        <w:rPr>
          <w:rFonts w:ascii="Arial" w:eastAsia="Arial" w:hAnsi="Arial" w:cs="Arial"/>
          <w:b/>
          <w:sz w:val="24"/>
          <w:szCs w:val="24"/>
          <w:u w:val="single"/>
        </w:rPr>
        <w:lastRenderedPageBreak/>
        <w:br/>
      </w:r>
      <w:r w:rsidR="00086AB8">
        <w:rPr>
          <w:rFonts w:ascii="Arial" w:eastAsia="Arial" w:hAnsi="Arial" w:cs="Arial"/>
          <w:b/>
          <w:sz w:val="24"/>
          <w:szCs w:val="24"/>
          <w:u w:val="single"/>
        </w:rPr>
        <w:t xml:space="preserve">FAU </w:t>
      </w:r>
      <w:r w:rsidR="00F23401" w:rsidRPr="000C62D6">
        <w:rPr>
          <w:rFonts w:ascii="Arial" w:eastAsia="Arial" w:hAnsi="Arial" w:cs="Arial"/>
          <w:b/>
          <w:sz w:val="24"/>
          <w:szCs w:val="24"/>
          <w:u w:val="single"/>
        </w:rPr>
        <w:t>Research Infrastructure</w:t>
      </w:r>
    </w:p>
    <w:p w14:paraId="5C02AE9F" w14:textId="77777777" w:rsidR="00F23401" w:rsidRPr="000C62D6" w:rsidRDefault="00F23401" w:rsidP="000C62D6">
      <w:pPr>
        <w:spacing w:line="240" w:lineRule="auto"/>
        <w:jc w:val="both"/>
        <w:rPr>
          <w:rFonts w:ascii="Arial" w:eastAsia="Arial" w:hAnsi="Arial" w:cs="Arial"/>
          <w:sz w:val="24"/>
          <w:szCs w:val="24"/>
        </w:rPr>
      </w:pPr>
      <w:r w:rsidRPr="000C62D6">
        <w:rPr>
          <w:rFonts w:ascii="Arial" w:eastAsia="Arial" w:hAnsi="Arial" w:cs="Arial"/>
          <w:b/>
          <w:sz w:val="24"/>
          <w:szCs w:val="24"/>
        </w:rPr>
        <w:t>FAU investigators can rely on a well-managed infrastructure to support their research efforts</w:t>
      </w:r>
      <w:r w:rsidRPr="000C62D6">
        <w:rPr>
          <w:rFonts w:ascii="Arial" w:eastAsia="Arial" w:hAnsi="Arial" w:cs="Arial"/>
          <w:sz w:val="24"/>
          <w:szCs w:val="24"/>
        </w:rPr>
        <w:t>. The Division of Research (</w:t>
      </w:r>
      <w:proofErr w:type="spellStart"/>
      <w:r w:rsidRPr="000C62D6">
        <w:rPr>
          <w:rFonts w:ascii="Arial" w:eastAsia="Arial" w:hAnsi="Arial" w:cs="Arial"/>
          <w:sz w:val="24"/>
          <w:szCs w:val="24"/>
        </w:rPr>
        <w:t>DoR</w:t>
      </w:r>
      <w:proofErr w:type="spellEnd"/>
      <w:r w:rsidRPr="000C62D6">
        <w:rPr>
          <w:rFonts w:ascii="Arial" w:eastAsia="Arial" w:hAnsi="Arial" w:cs="Arial"/>
          <w:sz w:val="24"/>
          <w:szCs w:val="24"/>
        </w:rPr>
        <w:t xml:space="preserve">) assists investigators with a range of administrative support needs -- from proposal submission to post-award accounting to technology commercialization -- through the following offices: </w:t>
      </w:r>
    </w:p>
    <w:p w14:paraId="6DF1F0A3" w14:textId="77777777" w:rsidR="00F23401" w:rsidRPr="000C62D6" w:rsidRDefault="00F23401" w:rsidP="000C62D6">
      <w:pPr>
        <w:numPr>
          <w:ilvl w:val="0"/>
          <w:numId w:val="1"/>
        </w:numPr>
        <w:pBdr>
          <w:top w:val="nil"/>
          <w:left w:val="nil"/>
          <w:bottom w:val="nil"/>
          <w:right w:val="nil"/>
          <w:between w:val="nil"/>
        </w:pBdr>
        <w:spacing w:after="0" w:line="240" w:lineRule="auto"/>
        <w:jc w:val="both"/>
        <w:rPr>
          <w:rFonts w:ascii="Arial" w:hAnsi="Arial" w:cs="Arial"/>
          <w:color w:val="000000"/>
          <w:sz w:val="24"/>
          <w:szCs w:val="24"/>
        </w:rPr>
      </w:pPr>
      <w:r w:rsidRPr="000C62D6">
        <w:rPr>
          <w:rFonts w:ascii="Arial" w:hAnsi="Arial" w:cs="Arial"/>
          <w:b/>
          <w:color w:val="000000"/>
          <w:sz w:val="24"/>
          <w:szCs w:val="24"/>
        </w:rPr>
        <w:t xml:space="preserve">Research Development </w:t>
      </w:r>
      <w:r w:rsidRPr="000C62D6">
        <w:rPr>
          <w:rFonts w:ascii="Arial" w:hAnsi="Arial" w:cs="Arial"/>
          <w:color w:val="000000"/>
          <w:sz w:val="24"/>
          <w:szCs w:val="24"/>
        </w:rPr>
        <w:t>spearheads the initial planning, conceptualization, and writing process leading to a grant award, including helping investigators assistance in finding research funding, building cross-discipline university-wide teams and providing feedback on grant proposals.</w:t>
      </w:r>
    </w:p>
    <w:p w14:paraId="75A9861D" w14:textId="77777777" w:rsidR="00F23401" w:rsidRPr="000C62D6" w:rsidRDefault="00F23401" w:rsidP="000C62D6">
      <w:pPr>
        <w:numPr>
          <w:ilvl w:val="0"/>
          <w:numId w:val="1"/>
        </w:numPr>
        <w:pBdr>
          <w:top w:val="nil"/>
          <w:left w:val="nil"/>
          <w:bottom w:val="nil"/>
          <w:right w:val="nil"/>
          <w:between w:val="nil"/>
        </w:pBdr>
        <w:spacing w:after="0" w:line="240" w:lineRule="auto"/>
        <w:jc w:val="both"/>
        <w:rPr>
          <w:rFonts w:ascii="Arial" w:hAnsi="Arial" w:cs="Arial"/>
          <w:color w:val="000000"/>
          <w:sz w:val="24"/>
          <w:szCs w:val="24"/>
        </w:rPr>
      </w:pPr>
      <w:r w:rsidRPr="000C62D6">
        <w:rPr>
          <w:rFonts w:ascii="Arial" w:eastAsia="Arial" w:hAnsi="Arial" w:cs="Arial"/>
          <w:b/>
          <w:color w:val="000000"/>
          <w:sz w:val="24"/>
          <w:szCs w:val="24"/>
        </w:rPr>
        <w:t>Research Integrity</w:t>
      </w:r>
      <w:r w:rsidRPr="000C62D6">
        <w:rPr>
          <w:rFonts w:ascii="Arial" w:eastAsia="Arial" w:hAnsi="Arial" w:cs="Arial"/>
          <w:color w:val="000000"/>
          <w:sz w:val="24"/>
          <w:szCs w:val="24"/>
        </w:rPr>
        <w:t xml:space="preserve"> manages a number of programs to ensure safety and promote objectivity in research, including the human research protections program, the animal care and use program, the diving and boating safety program, the conflict of interest committee, and the biosafety program. </w:t>
      </w:r>
    </w:p>
    <w:p w14:paraId="038AEBC4" w14:textId="77777777" w:rsidR="00F23401" w:rsidRPr="000C62D6" w:rsidRDefault="00F23401" w:rsidP="000C62D6">
      <w:pPr>
        <w:numPr>
          <w:ilvl w:val="0"/>
          <w:numId w:val="1"/>
        </w:numPr>
        <w:pBdr>
          <w:top w:val="nil"/>
          <w:left w:val="nil"/>
          <w:bottom w:val="nil"/>
          <w:right w:val="nil"/>
          <w:between w:val="nil"/>
        </w:pBdr>
        <w:spacing w:after="0" w:line="240" w:lineRule="auto"/>
        <w:jc w:val="both"/>
        <w:rPr>
          <w:rFonts w:ascii="Arial" w:hAnsi="Arial" w:cs="Arial"/>
          <w:color w:val="000000"/>
          <w:sz w:val="24"/>
          <w:szCs w:val="24"/>
        </w:rPr>
      </w:pPr>
      <w:r w:rsidRPr="000C62D6">
        <w:rPr>
          <w:rFonts w:ascii="Arial" w:eastAsia="Arial" w:hAnsi="Arial" w:cs="Arial"/>
          <w:b/>
          <w:color w:val="000000"/>
          <w:sz w:val="24"/>
          <w:szCs w:val="24"/>
        </w:rPr>
        <w:t>Comparative Medicine</w:t>
      </w:r>
      <w:r w:rsidRPr="000C62D6">
        <w:rPr>
          <w:rFonts w:ascii="Arial" w:eastAsia="Arial" w:hAnsi="Arial" w:cs="Arial"/>
          <w:color w:val="000000"/>
          <w:sz w:val="24"/>
          <w:szCs w:val="24"/>
        </w:rPr>
        <w:t xml:space="preserve"> oversees a centralized animal care and use program staffed by a full time Attending Veterinarian, a Clinical Veterinarian, and highly skilled, certified technical staff. The program is newly accredited by the Association for Assessment and Accreditation of Laboratory Animal Care (AAALAC).</w:t>
      </w:r>
    </w:p>
    <w:p w14:paraId="038380F8" w14:textId="77777777" w:rsidR="00F23401" w:rsidRPr="000C62D6" w:rsidRDefault="00F23401" w:rsidP="000C62D6">
      <w:pPr>
        <w:numPr>
          <w:ilvl w:val="0"/>
          <w:numId w:val="1"/>
        </w:numPr>
        <w:pBdr>
          <w:top w:val="nil"/>
          <w:left w:val="nil"/>
          <w:bottom w:val="nil"/>
          <w:right w:val="nil"/>
          <w:between w:val="nil"/>
        </w:pBdr>
        <w:spacing w:after="0" w:line="240" w:lineRule="auto"/>
        <w:jc w:val="both"/>
        <w:rPr>
          <w:rFonts w:ascii="Arial" w:hAnsi="Arial" w:cs="Arial"/>
          <w:color w:val="000000"/>
          <w:sz w:val="24"/>
          <w:szCs w:val="24"/>
        </w:rPr>
      </w:pPr>
      <w:r w:rsidRPr="000C62D6">
        <w:rPr>
          <w:rFonts w:ascii="Arial" w:eastAsia="Arial" w:hAnsi="Arial" w:cs="Arial"/>
          <w:b/>
          <w:color w:val="000000"/>
          <w:sz w:val="24"/>
          <w:szCs w:val="24"/>
        </w:rPr>
        <w:t>Research Communications</w:t>
      </w:r>
      <w:r w:rsidRPr="000C62D6">
        <w:rPr>
          <w:rFonts w:ascii="Arial" w:eastAsia="Arial" w:hAnsi="Arial" w:cs="Arial"/>
          <w:color w:val="000000"/>
          <w:sz w:val="24"/>
          <w:szCs w:val="24"/>
        </w:rPr>
        <w:t xml:space="preserve"> promotes research and scholarly activity at the university by disseminating news and information about FAU research to internal and external audiences through a variety of channels. In addition, the office supports FAU researchers, informing them about the division’s services, programs, events and regulatory changes that may impact their research. Research Communication also regularly hosts a “Communicating Your Science” workshop for faculty.</w:t>
      </w:r>
    </w:p>
    <w:p w14:paraId="66F75780" w14:textId="77777777" w:rsidR="00F23401" w:rsidRPr="000C62D6" w:rsidRDefault="00F23401" w:rsidP="000C62D6">
      <w:pPr>
        <w:numPr>
          <w:ilvl w:val="0"/>
          <w:numId w:val="1"/>
        </w:numPr>
        <w:pBdr>
          <w:top w:val="nil"/>
          <w:left w:val="nil"/>
          <w:bottom w:val="nil"/>
          <w:right w:val="nil"/>
          <w:between w:val="nil"/>
        </w:pBdr>
        <w:spacing w:after="0" w:line="240" w:lineRule="auto"/>
        <w:jc w:val="both"/>
        <w:rPr>
          <w:rFonts w:ascii="Arial" w:hAnsi="Arial" w:cs="Arial"/>
          <w:color w:val="000000"/>
          <w:sz w:val="24"/>
          <w:szCs w:val="24"/>
        </w:rPr>
      </w:pPr>
      <w:r w:rsidRPr="000C62D6">
        <w:rPr>
          <w:rFonts w:ascii="Arial" w:eastAsia="Arial" w:hAnsi="Arial" w:cs="Arial"/>
          <w:b/>
          <w:color w:val="000000"/>
          <w:sz w:val="24"/>
          <w:szCs w:val="24"/>
        </w:rPr>
        <w:t xml:space="preserve">Technology Development </w:t>
      </w:r>
      <w:r w:rsidRPr="000C62D6">
        <w:rPr>
          <w:rFonts w:ascii="Arial" w:eastAsia="Arial" w:hAnsi="Arial" w:cs="Arial"/>
          <w:color w:val="000000"/>
          <w:sz w:val="24"/>
          <w:szCs w:val="24"/>
        </w:rPr>
        <w:t xml:space="preserve">manages intellectual property (IP) created by faculty and students at FAU to support the creation and commercialization of novel ideas. The office provides impartial consultation on various legal protection and commercialization strategies, and collaborates with outside attorneys and consultants to offer additional resources. Additionally, the office works closely with the Office of Sponsored Programs to structure the IP and commercial provisions of sponsored research agreements. </w:t>
      </w:r>
    </w:p>
    <w:p w14:paraId="39E4A630" w14:textId="77777777" w:rsidR="00F23401" w:rsidRPr="000C62D6" w:rsidRDefault="00F23401" w:rsidP="000C62D6">
      <w:pPr>
        <w:numPr>
          <w:ilvl w:val="0"/>
          <w:numId w:val="1"/>
        </w:numPr>
        <w:pBdr>
          <w:top w:val="nil"/>
          <w:left w:val="nil"/>
          <w:bottom w:val="nil"/>
          <w:right w:val="nil"/>
          <w:between w:val="nil"/>
        </w:pBdr>
        <w:spacing w:line="240" w:lineRule="auto"/>
        <w:jc w:val="both"/>
        <w:rPr>
          <w:rFonts w:ascii="Arial" w:hAnsi="Arial" w:cs="Arial"/>
          <w:color w:val="000000"/>
          <w:sz w:val="24"/>
          <w:szCs w:val="24"/>
        </w:rPr>
      </w:pPr>
      <w:r w:rsidRPr="000C62D6">
        <w:rPr>
          <w:rFonts w:ascii="Arial" w:eastAsia="Arial" w:hAnsi="Arial" w:cs="Arial"/>
          <w:b/>
          <w:color w:val="000000"/>
          <w:sz w:val="24"/>
          <w:szCs w:val="24"/>
        </w:rPr>
        <w:t>Postdoctoral Affairs</w:t>
      </w:r>
      <w:r w:rsidRPr="000C62D6">
        <w:rPr>
          <w:rFonts w:ascii="Arial" w:eastAsia="Arial" w:hAnsi="Arial" w:cs="Arial"/>
          <w:color w:val="000000"/>
          <w:sz w:val="24"/>
          <w:szCs w:val="24"/>
        </w:rPr>
        <w:t xml:space="preserve"> provides mentoring, career advising, funding resources, and training on skills such as effective grant writing, scholarly presentations, teaching, and communication. The goal is to equip postdoctoral fellows with the skills and knowledge to make them successful in their chosen career path.  </w:t>
      </w:r>
    </w:p>
    <w:p w14:paraId="13C84D5E" w14:textId="77777777" w:rsidR="00F23401" w:rsidRPr="00240533" w:rsidRDefault="00F23401" w:rsidP="000C62D6">
      <w:pPr>
        <w:pBdr>
          <w:top w:val="nil"/>
          <w:left w:val="nil"/>
          <w:bottom w:val="nil"/>
          <w:right w:val="nil"/>
          <w:between w:val="nil"/>
        </w:pBdr>
        <w:spacing w:after="0" w:line="240" w:lineRule="auto"/>
        <w:ind w:left="720"/>
        <w:jc w:val="both"/>
        <w:rPr>
          <w:rFonts w:ascii="Arial" w:hAnsi="Arial" w:cs="Arial"/>
          <w:color w:val="000000"/>
          <w:sz w:val="24"/>
          <w:szCs w:val="24"/>
        </w:rPr>
      </w:pPr>
    </w:p>
    <w:p w14:paraId="064CBF08" w14:textId="60B45B27" w:rsidR="00F23401" w:rsidRPr="00240533" w:rsidRDefault="00972C41" w:rsidP="000C62D6">
      <w:pPr>
        <w:spacing w:line="240" w:lineRule="auto"/>
        <w:jc w:val="both"/>
        <w:rPr>
          <w:rFonts w:ascii="Arial" w:eastAsia="Arial" w:hAnsi="Arial" w:cs="Arial"/>
          <w:b/>
          <w:sz w:val="24"/>
          <w:szCs w:val="24"/>
          <w:u w:val="single"/>
        </w:rPr>
      </w:pPr>
      <w:bookmarkStart w:id="1" w:name="_Hlk104297028"/>
      <w:r>
        <w:rPr>
          <w:rFonts w:ascii="Arial" w:eastAsia="Arial" w:hAnsi="Arial" w:cs="Arial"/>
          <w:b/>
          <w:sz w:val="24"/>
          <w:szCs w:val="24"/>
          <w:u w:val="single"/>
        </w:rPr>
        <w:t xml:space="preserve">FAU </w:t>
      </w:r>
      <w:r w:rsidR="00F23401" w:rsidRPr="00240533">
        <w:rPr>
          <w:rFonts w:ascii="Arial" w:eastAsia="Arial" w:hAnsi="Arial" w:cs="Arial"/>
          <w:b/>
          <w:sz w:val="24"/>
          <w:szCs w:val="24"/>
          <w:u w:val="single"/>
        </w:rPr>
        <w:t>Space and Facilities</w:t>
      </w:r>
    </w:p>
    <w:p w14:paraId="05542509" w14:textId="77777777" w:rsidR="00127801" w:rsidRPr="00240533" w:rsidRDefault="00F23401">
      <w:pPr>
        <w:shd w:val="clear" w:color="auto" w:fill="FFFFFF"/>
        <w:spacing w:line="240" w:lineRule="auto"/>
        <w:jc w:val="both"/>
        <w:rPr>
          <w:rFonts w:ascii="Arial" w:eastAsia="Arial" w:hAnsi="Arial" w:cs="Arial"/>
          <w:sz w:val="24"/>
          <w:szCs w:val="24"/>
        </w:rPr>
      </w:pPr>
      <w:bookmarkStart w:id="2" w:name="_Hlk104297152"/>
      <w:bookmarkEnd w:id="1"/>
      <w:r w:rsidRPr="00240533">
        <w:rPr>
          <w:rFonts w:ascii="Arial" w:eastAsia="Arial" w:hAnsi="Arial" w:cs="Arial"/>
          <w:sz w:val="24"/>
          <w:szCs w:val="24"/>
        </w:rPr>
        <w:t>Located on the southeast Florida coast, FAU spans six campuses from Broward County to St. Lucie County</w:t>
      </w:r>
      <w:r w:rsidR="00127801" w:rsidRPr="00240533">
        <w:rPr>
          <w:rFonts w:ascii="Arial" w:eastAsia="Arial" w:hAnsi="Arial" w:cs="Arial"/>
          <w:sz w:val="24"/>
          <w:szCs w:val="24"/>
        </w:rPr>
        <w:t xml:space="preserve"> and has more than 37,000 students</w:t>
      </w:r>
      <w:bookmarkEnd w:id="2"/>
      <w:r w:rsidRPr="00240533">
        <w:rPr>
          <w:rFonts w:ascii="Arial" w:eastAsia="Arial" w:hAnsi="Arial" w:cs="Arial"/>
          <w:sz w:val="24"/>
          <w:szCs w:val="24"/>
        </w:rPr>
        <w:t xml:space="preserve">. The FAU main campus in Boca Raton consists of 700 acres and 236 buildings; 94 of its acreage is set aside for nature conservation and the protection of its symbolic “burrowing owl.”  </w:t>
      </w:r>
    </w:p>
    <w:p w14:paraId="7AC50BC7" w14:textId="77777777" w:rsidR="000B7A83" w:rsidRDefault="00F23401" w:rsidP="000B7A83">
      <w:pPr>
        <w:ind w:firstLine="360"/>
        <w:jc w:val="both"/>
        <w:rPr>
          <w:rFonts w:ascii="Arial" w:hAnsi="Arial" w:cs="Arial"/>
        </w:rPr>
      </w:pPr>
      <w:r w:rsidRPr="00240533">
        <w:rPr>
          <w:rFonts w:ascii="Arial" w:eastAsia="Arial" w:hAnsi="Arial" w:cs="Arial"/>
          <w:sz w:val="24"/>
          <w:szCs w:val="24"/>
        </w:rPr>
        <w:t xml:space="preserve">Operating in this multi-county service region, investigators are able to take advantage of an array of facilities.  </w:t>
      </w:r>
      <w:r w:rsidR="000B7A83" w:rsidRPr="00B86190">
        <w:rPr>
          <w:rFonts w:ascii="Arial" w:hAnsi="Arial" w:cs="Arial"/>
          <w:spacing w:val="3"/>
        </w:rPr>
        <w:t>The</w:t>
      </w:r>
      <w:r w:rsidR="000B7A83" w:rsidRPr="00B86190">
        <w:rPr>
          <w:rFonts w:ascii="Arial" w:hAnsi="Arial" w:cs="Arial"/>
          <w:spacing w:val="-15"/>
        </w:rPr>
        <w:t xml:space="preserve"> </w:t>
      </w:r>
      <w:r w:rsidR="000B7A83" w:rsidRPr="00B57921">
        <w:rPr>
          <w:rFonts w:ascii="Arial" w:hAnsi="Arial" w:cs="Arial"/>
        </w:rPr>
        <w:t>College</w:t>
      </w:r>
      <w:r w:rsidR="000B7A83" w:rsidRPr="00B57921">
        <w:rPr>
          <w:rFonts w:ascii="Arial" w:hAnsi="Arial" w:cs="Arial"/>
          <w:spacing w:val="-15"/>
        </w:rPr>
        <w:t xml:space="preserve"> </w:t>
      </w:r>
      <w:r w:rsidR="000B7A83" w:rsidRPr="00B57921">
        <w:rPr>
          <w:rFonts w:ascii="Arial" w:hAnsi="Arial" w:cs="Arial"/>
        </w:rPr>
        <w:t>of</w:t>
      </w:r>
      <w:r w:rsidR="000B7A83" w:rsidRPr="00B57921">
        <w:rPr>
          <w:rFonts w:ascii="Arial" w:hAnsi="Arial" w:cs="Arial"/>
          <w:spacing w:val="-19"/>
        </w:rPr>
        <w:t xml:space="preserve"> </w:t>
      </w:r>
      <w:r w:rsidR="000B7A83" w:rsidRPr="00B57921">
        <w:rPr>
          <w:rFonts w:ascii="Arial" w:hAnsi="Arial" w:cs="Arial"/>
        </w:rPr>
        <w:t>Science</w:t>
      </w:r>
      <w:r w:rsidR="000B7A83" w:rsidRPr="00B86190">
        <w:rPr>
          <w:rFonts w:ascii="Arial" w:hAnsi="Arial" w:cs="Arial"/>
          <w:spacing w:val="-9"/>
        </w:rPr>
        <w:t xml:space="preserve"> </w:t>
      </w:r>
      <w:r w:rsidR="000B7A83" w:rsidRPr="00B86190">
        <w:rPr>
          <w:rFonts w:ascii="Arial" w:hAnsi="Arial" w:cs="Arial"/>
        </w:rPr>
        <w:t>awards</w:t>
      </w:r>
      <w:r w:rsidR="000B7A83" w:rsidRPr="00B86190">
        <w:rPr>
          <w:rFonts w:ascii="Arial" w:hAnsi="Arial" w:cs="Arial"/>
          <w:spacing w:val="-17"/>
        </w:rPr>
        <w:t xml:space="preserve"> </w:t>
      </w:r>
      <w:r w:rsidR="000B7A83" w:rsidRPr="00B86190">
        <w:rPr>
          <w:rFonts w:ascii="Arial" w:hAnsi="Arial" w:cs="Arial"/>
        </w:rPr>
        <w:t>Ph.D. degrees in</w:t>
      </w:r>
      <w:r w:rsidR="000B7A83" w:rsidRPr="00B86190">
        <w:rPr>
          <w:rFonts w:ascii="Arial" w:hAnsi="Arial" w:cs="Arial"/>
          <w:spacing w:val="11"/>
        </w:rPr>
        <w:t xml:space="preserve"> </w:t>
      </w:r>
      <w:r w:rsidR="000B7A83" w:rsidRPr="00B86190">
        <w:rPr>
          <w:rFonts w:ascii="Arial" w:hAnsi="Arial" w:cs="Arial"/>
        </w:rPr>
        <w:t>six</w:t>
      </w:r>
      <w:r w:rsidR="000B7A83" w:rsidRPr="00B86190">
        <w:rPr>
          <w:rFonts w:ascii="Arial" w:hAnsi="Arial" w:cs="Arial"/>
          <w:spacing w:val="9"/>
        </w:rPr>
        <w:t xml:space="preserve"> </w:t>
      </w:r>
      <w:r w:rsidR="000B7A83" w:rsidRPr="00B86190">
        <w:rPr>
          <w:rFonts w:ascii="Arial" w:hAnsi="Arial" w:cs="Arial"/>
        </w:rPr>
        <w:t>different</w:t>
      </w:r>
      <w:r w:rsidR="000B7A83" w:rsidRPr="00B86190">
        <w:rPr>
          <w:rFonts w:ascii="Arial" w:hAnsi="Arial" w:cs="Arial"/>
          <w:spacing w:val="-8"/>
        </w:rPr>
        <w:t xml:space="preserve"> </w:t>
      </w:r>
      <w:r w:rsidR="000B7A83" w:rsidRPr="00B86190">
        <w:rPr>
          <w:rFonts w:ascii="Arial" w:hAnsi="Arial" w:cs="Arial"/>
        </w:rPr>
        <w:t>departments</w:t>
      </w:r>
      <w:r w:rsidR="000B7A83" w:rsidRPr="00B86190">
        <w:rPr>
          <w:rFonts w:ascii="Arial" w:hAnsi="Arial" w:cs="Arial"/>
          <w:spacing w:val="-10"/>
        </w:rPr>
        <w:t xml:space="preserve"> </w:t>
      </w:r>
      <w:r w:rsidR="000B7A83" w:rsidRPr="00B86190">
        <w:rPr>
          <w:rFonts w:ascii="Arial" w:hAnsi="Arial" w:cs="Arial"/>
        </w:rPr>
        <w:t>(</w:t>
      </w:r>
      <w:r w:rsidR="000B7A83" w:rsidRPr="00B86190">
        <w:rPr>
          <w:rFonts w:ascii="Arial" w:hAnsi="Arial" w:cs="Arial"/>
          <w:i/>
        </w:rPr>
        <w:t>i.e</w:t>
      </w:r>
      <w:r w:rsidR="000B7A83" w:rsidRPr="00B86190">
        <w:rPr>
          <w:rFonts w:ascii="Arial" w:hAnsi="Arial" w:cs="Arial"/>
        </w:rPr>
        <w:t>.,</w:t>
      </w:r>
      <w:r w:rsidR="000B7A83" w:rsidRPr="00B86190">
        <w:rPr>
          <w:rFonts w:ascii="Arial" w:hAnsi="Arial" w:cs="Arial"/>
          <w:spacing w:val="-13"/>
        </w:rPr>
        <w:t xml:space="preserve"> </w:t>
      </w:r>
      <w:r w:rsidR="000B7A83" w:rsidRPr="00B86190">
        <w:rPr>
          <w:rFonts w:ascii="Arial" w:hAnsi="Arial" w:cs="Arial"/>
        </w:rPr>
        <w:t>Biological</w:t>
      </w:r>
      <w:r w:rsidR="000B7A83" w:rsidRPr="00B86190">
        <w:rPr>
          <w:rFonts w:ascii="Arial" w:hAnsi="Arial" w:cs="Arial"/>
          <w:spacing w:val="-18"/>
        </w:rPr>
        <w:t xml:space="preserve"> </w:t>
      </w:r>
      <w:r w:rsidR="000B7A83" w:rsidRPr="00B86190">
        <w:rPr>
          <w:rFonts w:ascii="Arial" w:hAnsi="Arial" w:cs="Arial"/>
        </w:rPr>
        <w:t>Sciences,</w:t>
      </w:r>
      <w:r w:rsidR="000B7A83" w:rsidRPr="00B86190">
        <w:rPr>
          <w:rFonts w:ascii="Arial" w:hAnsi="Arial" w:cs="Arial"/>
          <w:spacing w:val="-13"/>
        </w:rPr>
        <w:t xml:space="preserve"> </w:t>
      </w:r>
      <w:r w:rsidR="000B7A83" w:rsidRPr="00B86190">
        <w:rPr>
          <w:rFonts w:ascii="Arial" w:hAnsi="Arial" w:cs="Arial"/>
        </w:rPr>
        <w:t>Chemistry,</w:t>
      </w:r>
      <w:r w:rsidR="000B7A83" w:rsidRPr="00B86190">
        <w:rPr>
          <w:rFonts w:ascii="Arial" w:hAnsi="Arial" w:cs="Arial"/>
          <w:spacing w:val="-13"/>
        </w:rPr>
        <w:t xml:space="preserve"> </w:t>
      </w:r>
      <w:r w:rsidR="000B7A83" w:rsidRPr="00B86190">
        <w:rPr>
          <w:rFonts w:ascii="Arial" w:hAnsi="Arial" w:cs="Arial"/>
        </w:rPr>
        <w:t>Geosciences,</w:t>
      </w:r>
      <w:r w:rsidR="000B7A83" w:rsidRPr="00B86190">
        <w:rPr>
          <w:rFonts w:ascii="Arial" w:hAnsi="Arial" w:cs="Arial"/>
          <w:spacing w:val="-13"/>
        </w:rPr>
        <w:t xml:space="preserve"> </w:t>
      </w:r>
      <w:r w:rsidR="000B7A83" w:rsidRPr="00B86190">
        <w:rPr>
          <w:rFonts w:ascii="Arial" w:hAnsi="Arial" w:cs="Arial"/>
        </w:rPr>
        <w:t>Mathematical</w:t>
      </w:r>
      <w:r w:rsidR="000B7A83" w:rsidRPr="00B86190">
        <w:rPr>
          <w:rFonts w:ascii="Arial" w:hAnsi="Arial" w:cs="Arial"/>
          <w:spacing w:val="-18"/>
        </w:rPr>
        <w:t xml:space="preserve"> </w:t>
      </w:r>
      <w:r w:rsidR="000B7A83" w:rsidRPr="00B86190">
        <w:rPr>
          <w:rFonts w:ascii="Arial" w:hAnsi="Arial" w:cs="Arial"/>
        </w:rPr>
        <w:t>Sciences,</w:t>
      </w:r>
      <w:r w:rsidR="000B7A83" w:rsidRPr="00B86190">
        <w:rPr>
          <w:rFonts w:ascii="Arial" w:hAnsi="Arial" w:cs="Arial"/>
          <w:spacing w:val="-13"/>
        </w:rPr>
        <w:t xml:space="preserve"> </w:t>
      </w:r>
      <w:r w:rsidR="000B7A83" w:rsidRPr="00B86190">
        <w:rPr>
          <w:rFonts w:ascii="Arial" w:hAnsi="Arial" w:cs="Arial"/>
          <w:spacing w:val="-6"/>
        </w:rPr>
        <w:t xml:space="preserve">Physics, </w:t>
      </w:r>
      <w:r w:rsidR="000B7A83" w:rsidRPr="00B86190">
        <w:rPr>
          <w:rFonts w:ascii="Arial" w:hAnsi="Arial" w:cs="Arial"/>
        </w:rPr>
        <w:t xml:space="preserve">Psychology). Within </w:t>
      </w:r>
      <w:r w:rsidR="000B7A83">
        <w:rPr>
          <w:rFonts w:ascii="Arial" w:hAnsi="Arial" w:cs="Arial"/>
        </w:rPr>
        <w:t xml:space="preserve">the </w:t>
      </w:r>
      <w:r w:rsidR="000B7A83" w:rsidRPr="00B57921">
        <w:rPr>
          <w:rFonts w:ascii="Arial" w:hAnsi="Arial" w:cs="Arial"/>
        </w:rPr>
        <w:t>College</w:t>
      </w:r>
      <w:r w:rsidR="000B7A83" w:rsidRPr="00B57921">
        <w:rPr>
          <w:rFonts w:ascii="Arial" w:hAnsi="Arial" w:cs="Arial"/>
          <w:spacing w:val="-15"/>
        </w:rPr>
        <w:t xml:space="preserve"> </w:t>
      </w:r>
      <w:r w:rsidR="000B7A83" w:rsidRPr="00B57921">
        <w:rPr>
          <w:rFonts w:ascii="Arial" w:hAnsi="Arial" w:cs="Arial"/>
        </w:rPr>
        <w:t>of</w:t>
      </w:r>
      <w:r w:rsidR="000B7A83" w:rsidRPr="00B57921">
        <w:rPr>
          <w:rFonts w:ascii="Arial" w:hAnsi="Arial" w:cs="Arial"/>
          <w:spacing w:val="-19"/>
        </w:rPr>
        <w:t xml:space="preserve"> </w:t>
      </w:r>
      <w:r w:rsidR="000B7A83" w:rsidRPr="00B57921">
        <w:rPr>
          <w:rFonts w:ascii="Arial" w:hAnsi="Arial" w:cs="Arial"/>
        </w:rPr>
        <w:t>Science</w:t>
      </w:r>
      <w:r w:rsidR="000B7A83" w:rsidRPr="00B86190">
        <w:rPr>
          <w:rFonts w:ascii="Arial" w:hAnsi="Arial" w:cs="Arial"/>
        </w:rPr>
        <w:t xml:space="preserve">, the Department of Biological Sciences </w:t>
      </w:r>
      <w:r w:rsidR="000B7A83" w:rsidRPr="00B86190">
        <w:rPr>
          <w:rFonts w:ascii="Arial" w:hAnsi="Arial" w:cs="Arial"/>
          <w:spacing w:val="2"/>
        </w:rPr>
        <w:t xml:space="preserve">offers </w:t>
      </w:r>
      <w:r w:rsidR="000B7A83" w:rsidRPr="00B86190">
        <w:rPr>
          <w:rFonts w:ascii="Arial" w:hAnsi="Arial" w:cs="Arial"/>
        </w:rPr>
        <w:t xml:space="preserve">a biomedical science </w:t>
      </w:r>
      <w:r w:rsidR="000B7A83" w:rsidRPr="00B86190">
        <w:rPr>
          <w:rFonts w:ascii="Arial" w:hAnsi="Arial" w:cs="Arial"/>
          <w:spacing w:val="-3"/>
        </w:rPr>
        <w:t xml:space="preserve">concentration, </w:t>
      </w:r>
      <w:r w:rsidR="000B7A83" w:rsidRPr="00B86190">
        <w:rPr>
          <w:rFonts w:ascii="Arial" w:hAnsi="Arial" w:cs="Arial"/>
        </w:rPr>
        <w:t xml:space="preserve">providing faculty and trainees </w:t>
      </w:r>
      <w:r w:rsidR="000B7A83" w:rsidRPr="00B86190">
        <w:rPr>
          <w:rFonts w:ascii="Arial" w:hAnsi="Arial" w:cs="Arial"/>
          <w:spacing w:val="-5"/>
        </w:rPr>
        <w:t xml:space="preserve">with </w:t>
      </w:r>
      <w:r w:rsidR="000B7A83" w:rsidRPr="00B86190">
        <w:rPr>
          <w:rFonts w:ascii="Arial" w:hAnsi="Arial" w:cs="Arial"/>
        </w:rPr>
        <w:t xml:space="preserve">several core facilities to advance their </w:t>
      </w:r>
      <w:r w:rsidR="000B7A83" w:rsidRPr="00B86190">
        <w:rPr>
          <w:rFonts w:ascii="Arial" w:hAnsi="Arial" w:cs="Arial"/>
          <w:spacing w:val="3"/>
        </w:rPr>
        <w:t xml:space="preserve">research, </w:t>
      </w:r>
      <w:r w:rsidR="000B7A83" w:rsidRPr="00B86190">
        <w:rPr>
          <w:rFonts w:ascii="Arial" w:hAnsi="Arial" w:cs="Arial"/>
        </w:rPr>
        <w:t xml:space="preserve">including a </w:t>
      </w:r>
      <w:r w:rsidR="000B7A83" w:rsidRPr="00B86190">
        <w:rPr>
          <w:rFonts w:ascii="Arial" w:hAnsi="Arial" w:cs="Arial"/>
          <w:spacing w:val="-3"/>
        </w:rPr>
        <w:t>High-</w:t>
      </w:r>
      <w:r w:rsidR="000B7A83" w:rsidRPr="00B86190">
        <w:rPr>
          <w:rFonts w:ascii="Arial" w:hAnsi="Arial" w:cs="Arial"/>
        </w:rPr>
        <w:t>Performance</w:t>
      </w:r>
      <w:r w:rsidR="000B7A83" w:rsidRPr="00B86190">
        <w:rPr>
          <w:rFonts w:ascii="Arial" w:hAnsi="Arial" w:cs="Arial"/>
          <w:spacing w:val="9"/>
        </w:rPr>
        <w:t xml:space="preserve"> </w:t>
      </w:r>
      <w:r w:rsidR="000B7A83" w:rsidRPr="00B86190">
        <w:rPr>
          <w:rFonts w:ascii="Arial" w:hAnsi="Arial" w:cs="Arial"/>
        </w:rPr>
        <w:t>Computing</w:t>
      </w:r>
      <w:r w:rsidR="000B7A83" w:rsidRPr="00B86190">
        <w:rPr>
          <w:rFonts w:ascii="Arial" w:hAnsi="Arial" w:cs="Arial"/>
          <w:spacing w:val="4"/>
        </w:rPr>
        <w:t xml:space="preserve"> </w:t>
      </w:r>
      <w:r w:rsidR="000B7A83" w:rsidRPr="00B86190">
        <w:rPr>
          <w:rFonts w:ascii="Arial" w:hAnsi="Arial" w:cs="Arial"/>
          <w:spacing w:val="-5"/>
        </w:rPr>
        <w:t>(HPC)</w:t>
      </w:r>
      <w:r w:rsidR="000B7A83" w:rsidRPr="00B86190">
        <w:rPr>
          <w:rFonts w:ascii="Arial" w:hAnsi="Arial" w:cs="Arial"/>
          <w:spacing w:val="7"/>
        </w:rPr>
        <w:t xml:space="preserve"> </w:t>
      </w:r>
      <w:r w:rsidR="000B7A83" w:rsidRPr="00B86190">
        <w:rPr>
          <w:rFonts w:ascii="Arial" w:hAnsi="Arial" w:cs="Arial"/>
        </w:rPr>
        <w:t>cluster</w:t>
      </w:r>
      <w:r w:rsidR="000B7A83" w:rsidRPr="00B86190">
        <w:rPr>
          <w:rFonts w:ascii="Arial" w:hAnsi="Arial" w:cs="Arial"/>
          <w:spacing w:val="17"/>
        </w:rPr>
        <w:t xml:space="preserve"> </w:t>
      </w:r>
      <w:r w:rsidR="000B7A83" w:rsidRPr="00B86190">
        <w:rPr>
          <w:rFonts w:ascii="Arial" w:hAnsi="Arial" w:cs="Arial"/>
        </w:rPr>
        <w:t>capable</w:t>
      </w:r>
      <w:r w:rsidR="000B7A83" w:rsidRPr="00B86190">
        <w:rPr>
          <w:rFonts w:ascii="Arial" w:hAnsi="Arial" w:cs="Arial"/>
          <w:spacing w:val="4"/>
        </w:rPr>
        <w:t xml:space="preserve"> </w:t>
      </w:r>
      <w:r w:rsidR="000B7A83" w:rsidRPr="00B86190">
        <w:rPr>
          <w:rFonts w:ascii="Arial" w:hAnsi="Arial" w:cs="Arial"/>
        </w:rPr>
        <w:t>of</w:t>
      </w:r>
      <w:r w:rsidR="000B7A83" w:rsidRPr="00B86190">
        <w:rPr>
          <w:rFonts w:ascii="Arial" w:hAnsi="Arial" w:cs="Arial"/>
          <w:spacing w:val="8"/>
        </w:rPr>
        <w:t xml:space="preserve"> </w:t>
      </w:r>
      <w:r w:rsidR="000B7A83" w:rsidRPr="00B86190">
        <w:rPr>
          <w:rFonts w:ascii="Arial" w:hAnsi="Arial" w:cs="Arial"/>
        </w:rPr>
        <w:t>performing</w:t>
      </w:r>
      <w:r w:rsidR="000B7A83" w:rsidRPr="00B86190">
        <w:rPr>
          <w:rFonts w:ascii="Arial" w:hAnsi="Arial" w:cs="Arial"/>
          <w:spacing w:val="7"/>
        </w:rPr>
        <w:t xml:space="preserve"> </w:t>
      </w:r>
      <w:r w:rsidR="000B7A83" w:rsidRPr="00B86190">
        <w:rPr>
          <w:rFonts w:ascii="Arial" w:hAnsi="Arial" w:cs="Arial"/>
        </w:rPr>
        <w:t>intense</w:t>
      </w:r>
      <w:r w:rsidR="000B7A83" w:rsidRPr="00B86190">
        <w:rPr>
          <w:rFonts w:ascii="Arial" w:hAnsi="Arial" w:cs="Arial"/>
          <w:spacing w:val="4"/>
        </w:rPr>
        <w:t xml:space="preserve"> </w:t>
      </w:r>
      <w:r w:rsidR="000B7A83" w:rsidRPr="00B86190">
        <w:rPr>
          <w:rFonts w:ascii="Arial" w:hAnsi="Arial" w:cs="Arial"/>
        </w:rPr>
        <w:t>computing</w:t>
      </w:r>
      <w:r w:rsidR="000B7A83" w:rsidRPr="00B86190">
        <w:rPr>
          <w:rFonts w:ascii="Arial" w:hAnsi="Arial" w:cs="Arial"/>
          <w:spacing w:val="4"/>
        </w:rPr>
        <w:t xml:space="preserve"> </w:t>
      </w:r>
      <w:r w:rsidR="000B7A83" w:rsidRPr="00B86190">
        <w:rPr>
          <w:rFonts w:ascii="Arial" w:hAnsi="Arial" w:cs="Arial"/>
        </w:rPr>
        <w:t>tasks</w:t>
      </w:r>
      <w:r w:rsidR="000B7A83" w:rsidRPr="00B86190">
        <w:rPr>
          <w:rFonts w:ascii="Arial" w:hAnsi="Arial" w:cs="Arial"/>
          <w:spacing w:val="9"/>
        </w:rPr>
        <w:t xml:space="preserve"> </w:t>
      </w:r>
      <w:r w:rsidR="000B7A83" w:rsidRPr="00B86190">
        <w:rPr>
          <w:rFonts w:ascii="Arial" w:hAnsi="Arial" w:cs="Arial"/>
        </w:rPr>
        <w:t>at</w:t>
      </w:r>
      <w:r w:rsidR="000B7A83" w:rsidRPr="00B86190">
        <w:rPr>
          <w:rFonts w:ascii="Arial" w:hAnsi="Arial" w:cs="Arial"/>
          <w:spacing w:val="5"/>
        </w:rPr>
        <w:t xml:space="preserve"> </w:t>
      </w:r>
      <w:r w:rsidR="000B7A83" w:rsidRPr="00B86190">
        <w:rPr>
          <w:rFonts w:ascii="Arial" w:hAnsi="Arial" w:cs="Arial"/>
        </w:rPr>
        <w:t>a</w:t>
      </w:r>
      <w:r w:rsidR="000B7A83" w:rsidRPr="00B86190">
        <w:rPr>
          <w:rFonts w:ascii="Arial" w:hAnsi="Arial" w:cs="Arial"/>
          <w:spacing w:val="4"/>
        </w:rPr>
        <w:t xml:space="preserve"> </w:t>
      </w:r>
      <w:r w:rsidR="000B7A83" w:rsidRPr="00B86190">
        <w:rPr>
          <w:rFonts w:ascii="Arial" w:hAnsi="Arial" w:cs="Arial"/>
        </w:rPr>
        <w:t>fraction</w:t>
      </w:r>
      <w:r w:rsidR="000B7A83" w:rsidRPr="00B86190">
        <w:rPr>
          <w:rFonts w:ascii="Arial" w:hAnsi="Arial" w:cs="Arial"/>
          <w:spacing w:val="4"/>
        </w:rPr>
        <w:t xml:space="preserve"> </w:t>
      </w:r>
      <w:r w:rsidR="000B7A83" w:rsidRPr="00B86190">
        <w:rPr>
          <w:rFonts w:ascii="Arial" w:hAnsi="Arial" w:cs="Arial"/>
        </w:rPr>
        <w:t>of</w:t>
      </w:r>
      <w:r w:rsidR="000B7A83" w:rsidRPr="00B86190">
        <w:rPr>
          <w:rFonts w:ascii="Arial" w:hAnsi="Arial" w:cs="Arial"/>
          <w:spacing w:val="3"/>
        </w:rPr>
        <w:t xml:space="preserve"> </w:t>
      </w:r>
      <w:r w:rsidR="000B7A83" w:rsidRPr="00B86190">
        <w:rPr>
          <w:rFonts w:ascii="Arial" w:hAnsi="Arial" w:cs="Arial"/>
        </w:rPr>
        <w:t>the</w:t>
      </w:r>
      <w:r w:rsidR="000B7A83" w:rsidRPr="00B86190">
        <w:rPr>
          <w:rFonts w:ascii="Arial" w:hAnsi="Arial" w:cs="Arial"/>
          <w:spacing w:val="12"/>
        </w:rPr>
        <w:t xml:space="preserve"> </w:t>
      </w:r>
      <w:r w:rsidR="000B7A83" w:rsidRPr="00B86190">
        <w:rPr>
          <w:rFonts w:ascii="Arial" w:hAnsi="Arial" w:cs="Arial"/>
          <w:spacing w:val="-3"/>
        </w:rPr>
        <w:t>cost</w:t>
      </w:r>
      <w:r w:rsidR="000B7A83">
        <w:rPr>
          <w:rFonts w:ascii="Arial" w:hAnsi="Arial" w:cs="Arial"/>
          <w:spacing w:val="-3"/>
        </w:rPr>
        <w:t xml:space="preserve"> and</w:t>
      </w:r>
      <w:r w:rsidR="000B7A83" w:rsidRPr="00B86190">
        <w:rPr>
          <w:rFonts w:ascii="Arial" w:hAnsi="Arial" w:cs="Arial"/>
        </w:rPr>
        <w:t xml:space="preserve"> a </w:t>
      </w:r>
      <w:r w:rsidR="000B7A83">
        <w:rPr>
          <w:rFonts w:ascii="Arial" w:hAnsi="Arial" w:cs="Arial"/>
        </w:rPr>
        <w:t>f</w:t>
      </w:r>
      <w:r w:rsidR="000B7A83" w:rsidRPr="00B86190">
        <w:rPr>
          <w:rFonts w:ascii="Arial" w:hAnsi="Arial" w:cs="Arial"/>
        </w:rPr>
        <w:t>luorescent-</w:t>
      </w:r>
      <w:r w:rsidR="000B7A83">
        <w:rPr>
          <w:rFonts w:ascii="Arial" w:hAnsi="Arial" w:cs="Arial"/>
        </w:rPr>
        <w:t>a</w:t>
      </w:r>
      <w:r w:rsidR="000B7A83" w:rsidRPr="00B86190">
        <w:rPr>
          <w:rFonts w:ascii="Arial" w:hAnsi="Arial" w:cs="Arial"/>
        </w:rPr>
        <w:t xml:space="preserve">ctivated </w:t>
      </w:r>
      <w:r w:rsidR="000B7A83">
        <w:rPr>
          <w:rFonts w:ascii="Arial" w:hAnsi="Arial" w:cs="Arial"/>
        </w:rPr>
        <w:t>c</w:t>
      </w:r>
      <w:r w:rsidR="000B7A83" w:rsidRPr="00B86190">
        <w:rPr>
          <w:rFonts w:ascii="Arial" w:hAnsi="Arial" w:cs="Arial"/>
        </w:rPr>
        <w:t xml:space="preserve">ell </w:t>
      </w:r>
      <w:r w:rsidR="000B7A83">
        <w:rPr>
          <w:rFonts w:ascii="Arial" w:hAnsi="Arial" w:cs="Arial"/>
        </w:rPr>
        <w:t>s</w:t>
      </w:r>
      <w:r w:rsidR="000B7A83" w:rsidRPr="00B86190">
        <w:rPr>
          <w:rFonts w:ascii="Arial" w:hAnsi="Arial" w:cs="Arial"/>
        </w:rPr>
        <w:t xml:space="preserve">orter for </w:t>
      </w:r>
      <w:r w:rsidR="000B7A83" w:rsidRPr="00B86190">
        <w:rPr>
          <w:rFonts w:ascii="Arial" w:hAnsi="Arial" w:cs="Arial"/>
          <w:spacing w:val="-3"/>
        </w:rPr>
        <w:t xml:space="preserve">analyzing </w:t>
      </w:r>
      <w:r w:rsidR="000B7A83" w:rsidRPr="00B86190">
        <w:rPr>
          <w:rFonts w:ascii="Arial" w:hAnsi="Arial" w:cs="Arial"/>
        </w:rPr>
        <w:t>cellular properties</w:t>
      </w:r>
      <w:r w:rsidR="000B7A83">
        <w:rPr>
          <w:rFonts w:ascii="Arial" w:hAnsi="Arial" w:cs="Arial"/>
        </w:rPr>
        <w:t>. The Department of Chemistry &amp; Biochemistry offers</w:t>
      </w:r>
      <w:r w:rsidR="000B7A83" w:rsidRPr="00B86190">
        <w:rPr>
          <w:rFonts w:ascii="Arial" w:hAnsi="Arial" w:cs="Arial"/>
        </w:rPr>
        <w:t xml:space="preserve"> </w:t>
      </w:r>
      <w:r w:rsidR="000B7A83">
        <w:rPr>
          <w:rFonts w:ascii="Arial" w:hAnsi="Arial" w:cs="Arial"/>
        </w:rPr>
        <w:t>m</w:t>
      </w:r>
      <w:r w:rsidR="000B7A83" w:rsidRPr="00B86190">
        <w:rPr>
          <w:rFonts w:ascii="Arial" w:hAnsi="Arial" w:cs="Arial"/>
        </w:rPr>
        <w:t xml:space="preserve">ass </w:t>
      </w:r>
      <w:r w:rsidR="000B7A83">
        <w:rPr>
          <w:rFonts w:ascii="Arial" w:hAnsi="Arial" w:cs="Arial"/>
        </w:rPr>
        <w:t>s</w:t>
      </w:r>
      <w:r w:rsidR="000B7A83" w:rsidRPr="00B86190">
        <w:rPr>
          <w:rFonts w:ascii="Arial" w:hAnsi="Arial" w:cs="Arial"/>
        </w:rPr>
        <w:t>pectromet</w:t>
      </w:r>
      <w:r w:rsidR="000B7A83">
        <w:rPr>
          <w:rFonts w:ascii="Arial" w:hAnsi="Arial" w:cs="Arial"/>
        </w:rPr>
        <w:t>ry, NMR, and</w:t>
      </w:r>
      <w:r w:rsidR="000B7A83" w:rsidRPr="00B86190">
        <w:rPr>
          <w:rFonts w:ascii="Arial" w:hAnsi="Arial" w:cs="Arial"/>
        </w:rPr>
        <w:t xml:space="preserve"> peptide synthesi</w:t>
      </w:r>
      <w:r w:rsidR="000B7A83">
        <w:rPr>
          <w:rFonts w:ascii="Arial" w:hAnsi="Arial" w:cs="Arial"/>
        </w:rPr>
        <w:t>s</w:t>
      </w:r>
      <w:r w:rsidR="000B7A83" w:rsidRPr="00B86190">
        <w:rPr>
          <w:rFonts w:ascii="Arial" w:hAnsi="Arial" w:cs="Arial"/>
        </w:rPr>
        <w:t xml:space="preserve"> </w:t>
      </w:r>
      <w:r w:rsidR="000B7A83">
        <w:rPr>
          <w:rFonts w:ascii="Arial" w:hAnsi="Arial" w:cs="Arial"/>
        </w:rPr>
        <w:t>services</w:t>
      </w:r>
      <w:r w:rsidR="000B7A83" w:rsidRPr="00B86190">
        <w:rPr>
          <w:rFonts w:ascii="Arial" w:hAnsi="Arial" w:cs="Arial"/>
        </w:rPr>
        <w:t xml:space="preserve">. </w:t>
      </w:r>
      <w:r w:rsidR="000B7A83" w:rsidRPr="00B86190">
        <w:rPr>
          <w:rFonts w:ascii="Arial" w:hAnsi="Arial" w:cs="Arial"/>
          <w:spacing w:val="3"/>
        </w:rPr>
        <w:t xml:space="preserve">The </w:t>
      </w:r>
      <w:r w:rsidR="000B7A83" w:rsidRPr="00B57921">
        <w:rPr>
          <w:rFonts w:ascii="Arial" w:hAnsi="Arial" w:cs="Arial"/>
        </w:rPr>
        <w:t>College of Medicine</w:t>
      </w:r>
      <w:r w:rsidR="000B7A83" w:rsidRPr="00B86190">
        <w:rPr>
          <w:rFonts w:ascii="Arial" w:hAnsi="Arial" w:cs="Arial"/>
        </w:rPr>
        <w:t xml:space="preserve"> awards </w:t>
      </w:r>
      <w:r w:rsidR="000B7A83" w:rsidRPr="00B86190">
        <w:rPr>
          <w:rFonts w:ascii="Arial" w:hAnsi="Arial" w:cs="Arial"/>
          <w:spacing w:val="-5"/>
        </w:rPr>
        <w:t xml:space="preserve">M.D., </w:t>
      </w:r>
      <w:r w:rsidR="000B7A83" w:rsidRPr="00B86190">
        <w:rPr>
          <w:rFonts w:ascii="Arial" w:hAnsi="Arial" w:cs="Arial"/>
          <w:spacing w:val="-3"/>
        </w:rPr>
        <w:t xml:space="preserve">M.D.-Ph.D., </w:t>
      </w:r>
      <w:r w:rsidR="000B7A83" w:rsidRPr="00B86190">
        <w:rPr>
          <w:rFonts w:ascii="Arial" w:hAnsi="Arial" w:cs="Arial"/>
        </w:rPr>
        <w:t xml:space="preserve">Ph.D., </w:t>
      </w:r>
      <w:r w:rsidR="000B7A83" w:rsidRPr="00B86190">
        <w:rPr>
          <w:rFonts w:ascii="Arial" w:hAnsi="Arial" w:cs="Arial"/>
          <w:spacing w:val="-4"/>
        </w:rPr>
        <w:t xml:space="preserve">and </w:t>
      </w:r>
      <w:r w:rsidR="000B7A83" w:rsidRPr="00B86190">
        <w:rPr>
          <w:rFonts w:ascii="Arial" w:hAnsi="Arial" w:cs="Arial"/>
        </w:rPr>
        <w:t xml:space="preserve">Master’s in Biomedical Science </w:t>
      </w:r>
      <w:r w:rsidR="000B7A83" w:rsidRPr="00B86190">
        <w:rPr>
          <w:rFonts w:ascii="Arial" w:hAnsi="Arial" w:cs="Arial"/>
          <w:spacing w:val="2"/>
        </w:rPr>
        <w:t xml:space="preserve">degrees. </w:t>
      </w:r>
      <w:r w:rsidR="000B7A83" w:rsidRPr="00B86190">
        <w:rPr>
          <w:rFonts w:ascii="Arial" w:hAnsi="Arial" w:cs="Arial"/>
          <w:spacing w:val="-3"/>
        </w:rPr>
        <w:t xml:space="preserve">Having </w:t>
      </w:r>
      <w:r w:rsidR="000B7A83" w:rsidRPr="00B86190">
        <w:rPr>
          <w:rFonts w:ascii="Arial" w:hAnsi="Arial" w:cs="Arial"/>
        </w:rPr>
        <w:t xml:space="preserve">received </w:t>
      </w:r>
      <w:r w:rsidR="000B7A83" w:rsidRPr="00B86190">
        <w:rPr>
          <w:rFonts w:ascii="Arial" w:hAnsi="Arial" w:cs="Arial"/>
          <w:spacing w:val="-3"/>
        </w:rPr>
        <w:t xml:space="preserve">LCME </w:t>
      </w:r>
      <w:r w:rsidR="000B7A83" w:rsidRPr="00B86190">
        <w:rPr>
          <w:rFonts w:ascii="Arial" w:hAnsi="Arial" w:cs="Arial"/>
        </w:rPr>
        <w:t xml:space="preserve">accreditation in </w:t>
      </w:r>
      <w:r w:rsidR="000B7A83" w:rsidRPr="00B86190">
        <w:rPr>
          <w:rFonts w:ascii="Arial" w:hAnsi="Arial" w:cs="Arial"/>
          <w:spacing w:val="2"/>
        </w:rPr>
        <w:t xml:space="preserve">2015, </w:t>
      </w:r>
      <w:r w:rsidR="000B7A83">
        <w:rPr>
          <w:rFonts w:ascii="Arial" w:hAnsi="Arial" w:cs="Arial"/>
        </w:rPr>
        <w:t xml:space="preserve">the </w:t>
      </w:r>
      <w:r w:rsidR="000B7A83" w:rsidRPr="00B57921">
        <w:rPr>
          <w:rFonts w:ascii="Arial" w:hAnsi="Arial" w:cs="Arial"/>
        </w:rPr>
        <w:t>College of Medicine</w:t>
      </w:r>
      <w:r w:rsidR="000B7A83" w:rsidRPr="00B86190">
        <w:rPr>
          <w:rFonts w:ascii="Arial" w:hAnsi="Arial" w:cs="Arial"/>
        </w:rPr>
        <w:t xml:space="preserve"> is recognized </w:t>
      </w:r>
      <w:r w:rsidR="000B7A83" w:rsidRPr="00B86190">
        <w:rPr>
          <w:rFonts w:ascii="Arial" w:hAnsi="Arial" w:cs="Arial"/>
          <w:spacing w:val="-7"/>
        </w:rPr>
        <w:t xml:space="preserve">as </w:t>
      </w:r>
      <w:r w:rsidR="000B7A83" w:rsidRPr="00B86190">
        <w:rPr>
          <w:rFonts w:ascii="Arial" w:hAnsi="Arial" w:cs="Arial"/>
        </w:rPr>
        <w:t xml:space="preserve">the fastest rising medical school in Florida according to the </w:t>
      </w:r>
      <w:r w:rsidR="000B7A83" w:rsidRPr="00B86190">
        <w:rPr>
          <w:rFonts w:ascii="Arial" w:hAnsi="Arial" w:cs="Arial"/>
          <w:spacing w:val="2"/>
        </w:rPr>
        <w:t xml:space="preserve">recent </w:t>
      </w:r>
      <w:r w:rsidR="000B7A83" w:rsidRPr="00B86190">
        <w:rPr>
          <w:rFonts w:ascii="Arial" w:hAnsi="Arial" w:cs="Arial"/>
          <w:spacing w:val="-6"/>
        </w:rPr>
        <w:t xml:space="preserve">U.S. </w:t>
      </w:r>
      <w:r w:rsidR="000B7A83" w:rsidRPr="00B86190">
        <w:rPr>
          <w:rFonts w:ascii="Arial" w:hAnsi="Arial" w:cs="Arial"/>
          <w:spacing w:val="-9"/>
        </w:rPr>
        <w:t xml:space="preserve">News </w:t>
      </w:r>
      <w:r w:rsidR="000B7A83" w:rsidRPr="00B86190">
        <w:rPr>
          <w:rFonts w:ascii="Arial" w:hAnsi="Arial" w:cs="Arial"/>
        </w:rPr>
        <w:t xml:space="preserve">and World Report. Within </w:t>
      </w:r>
      <w:r w:rsidR="000B7A83">
        <w:rPr>
          <w:rFonts w:ascii="Arial" w:hAnsi="Arial" w:cs="Arial"/>
        </w:rPr>
        <w:t xml:space="preserve">the </w:t>
      </w:r>
      <w:r w:rsidR="000B7A83" w:rsidRPr="00B57921">
        <w:rPr>
          <w:rFonts w:ascii="Arial" w:hAnsi="Arial" w:cs="Arial"/>
        </w:rPr>
        <w:t>College of Medicine</w:t>
      </w:r>
      <w:r w:rsidR="000B7A83" w:rsidRPr="00B86190">
        <w:rPr>
          <w:rFonts w:ascii="Arial" w:hAnsi="Arial" w:cs="Arial"/>
          <w:spacing w:val="-3"/>
        </w:rPr>
        <w:t xml:space="preserve">, </w:t>
      </w:r>
      <w:r w:rsidR="000B7A83" w:rsidRPr="00B86190">
        <w:rPr>
          <w:rFonts w:ascii="Arial" w:hAnsi="Arial" w:cs="Arial"/>
        </w:rPr>
        <w:lastRenderedPageBreak/>
        <w:t xml:space="preserve">the Departments of Biomedical Science and Integrated Medical Science conduct bench to bedside research </w:t>
      </w:r>
      <w:r w:rsidR="000B7A83" w:rsidRPr="00B86190">
        <w:rPr>
          <w:rFonts w:ascii="Arial" w:hAnsi="Arial" w:cs="Arial"/>
          <w:spacing w:val="-9"/>
        </w:rPr>
        <w:t xml:space="preserve">in </w:t>
      </w:r>
      <w:r w:rsidR="000B7A83" w:rsidRPr="00B86190">
        <w:rPr>
          <w:rFonts w:ascii="Arial" w:hAnsi="Arial" w:cs="Arial"/>
        </w:rPr>
        <w:t xml:space="preserve">neuroscience, healthy aging, substance use </w:t>
      </w:r>
      <w:r w:rsidR="000B7A83" w:rsidRPr="00B86190">
        <w:rPr>
          <w:rFonts w:ascii="Arial" w:hAnsi="Arial" w:cs="Arial"/>
          <w:spacing w:val="2"/>
        </w:rPr>
        <w:t xml:space="preserve">disorders, </w:t>
      </w:r>
      <w:r w:rsidR="000B7A83" w:rsidRPr="00B86190">
        <w:rPr>
          <w:rFonts w:ascii="Arial" w:hAnsi="Arial" w:cs="Arial"/>
        </w:rPr>
        <w:t xml:space="preserve">and genomics &amp; precision medicine. </w:t>
      </w:r>
      <w:r w:rsidR="000B7A83" w:rsidRPr="00B86190">
        <w:rPr>
          <w:rFonts w:ascii="Arial" w:hAnsi="Arial" w:cs="Arial"/>
          <w:spacing w:val="-8"/>
        </w:rPr>
        <w:t xml:space="preserve">In </w:t>
      </w:r>
      <w:r w:rsidR="000B7A83" w:rsidRPr="00B86190">
        <w:rPr>
          <w:rFonts w:ascii="Arial" w:hAnsi="Arial" w:cs="Arial"/>
          <w:spacing w:val="2"/>
        </w:rPr>
        <w:t xml:space="preserve">support </w:t>
      </w:r>
      <w:r w:rsidR="000B7A83" w:rsidRPr="00B86190">
        <w:rPr>
          <w:rFonts w:ascii="Arial" w:hAnsi="Arial" w:cs="Arial"/>
        </w:rPr>
        <w:t xml:space="preserve">of </w:t>
      </w:r>
      <w:r w:rsidR="000B7A83" w:rsidRPr="00B86190">
        <w:rPr>
          <w:rFonts w:ascii="Arial" w:hAnsi="Arial" w:cs="Arial"/>
          <w:spacing w:val="-3"/>
        </w:rPr>
        <w:t xml:space="preserve">their </w:t>
      </w:r>
      <w:r w:rsidR="000B7A83" w:rsidRPr="00B86190">
        <w:rPr>
          <w:rFonts w:ascii="Arial" w:hAnsi="Arial" w:cs="Arial"/>
          <w:spacing w:val="2"/>
        </w:rPr>
        <w:t xml:space="preserve">research, </w:t>
      </w:r>
      <w:r w:rsidR="000B7A83">
        <w:rPr>
          <w:rFonts w:ascii="Arial" w:hAnsi="Arial" w:cs="Arial"/>
          <w:spacing w:val="2"/>
        </w:rPr>
        <w:t xml:space="preserve">the </w:t>
      </w:r>
      <w:r w:rsidR="000B7A83" w:rsidRPr="00B57921">
        <w:rPr>
          <w:rFonts w:ascii="Arial" w:hAnsi="Arial" w:cs="Arial"/>
        </w:rPr>
        <w:t>College of Medicine</w:t>
      </w:r>
      <w:r w:rsidR="000B7A83" w:rsidRPr="00B86190">
        <w:rPr>
          <w:rFonts w:ascii="Arial" w:hAnsi="Arial" w:cs="Arial"/>
        </w:rPr>
        <w:t xml:space="preserve"> houses several core facilities, including</w:t>
      </w:r>
      <w:r w:rsidR="000B7A83">
        <w:rPr>
          <w:rFonts w:ascii="Arial" w:hAnsi="Arial" w:cs="Arial"/>
        </w:rPr>
        <w:t>:</w:t>
      </w:r>
      <w:r w:rsidR="000B7A83" w:rsidRPr="00B86190">
        <w:rPr>
          <w:rFonts w:ascii="Arial" w:hAnsi="Arial" w:cs="Arial"/>
        </w:rPr>
        <w:t xml:space="preserve"> </w:t>
      </w:r>
      <w:r w:rsidR="000B7A83">
        <w:rPr>
          <w:rFonts w:ascii="Arial" w:hAnsi="Arial" w:cs="Arial"/>
        </w:rPr>
        <w:t>(</w:t>
      </w:r>
      <w:r w:rsidR="000B7A83" w:rsidRPr="00B86190">
        <w:rPr>
          <w:rFonts w:ascii="Arial" w:hAnsi="Arial" w:cs="Arial"/>
        </w:rPr>
        <w:t xml:space="preserve">1) an AAALAC-accredited animal facility for </w:t>
      </w:r>
      <w:r w:rsidR="000B7A83" w:rsidRPr="00B86190">
        <w:rPr>
          <w:rFonts w:ascii="Arial" w:hAnsi="Arial" w:cs="Arial"/>
          <w:spacing w:val="-5"/>
        </w:rPr>
        <w:t xml:space="preserve">developing </w:t>
      </w:r>
      <w:r w:rsidR="000B7A83" w:rsidRPr="00B86190">
        <w:rPr>
          <w:rFonts w:ascii="Arial" w:hAnsi="Arial" w:cs="Arial"/>
        </w:rPr>
        <w:t xml:space="preserve">pre-clinical animal models; </w:t>
      </w:r>
      <w:r w:rsidR="000B7A83">
        <w:rPr>
          <w:rFonts w:ascii="Arial" w:hAnsi="Arial" w:cs="Arial"/>
        </w:rPr>
        <w:t>(</w:t>
      </w:r>
      <w:r w:rsidR="000B7A83" w:rsidRPr="00B86190">
        <w:rPr>
          <w:rFonts w:ascii="Arial" w:hAnsi="Arial" w:cs="Arial"/>
        </w:rPr>
        <w:t>2) an Induced Pluripotent Stem Cell (iPSC) Facility for performing genome editing and</w:t>
      </w:r>
      <w:r w:rsidR="000B7A83" w:rsidRPr="00B86190">
        <w:rPr>
          <w:rFonts w:ascii="Arial" w:hAnsi="Arial" w:cs="Arial"/>
          <w:spacing w:val="-11"/>
        </w:rPr>
        <w:t xml:space="preserve"> </w:t>
      </w:r>
      <w:r w:rsidR="000B7A83" w:rsidRPr="00B86190">
        <w:rPr>
          <w:rFonts w:ascii="Arial" w:hAnsi="Arial" w:cs="Arial"/>
          <w:spacing w:val="-4"/>
        </w:rPr>
        <w:t>iPSC</w:t>
      </w:r>
      <w:r w:rsidR="000B7A83" w:rsidRPr="00B86190">
        <w:rPr>
          <w:rFonts w:ascii="Arial" w:hAnsi="Arial" w:cs="Arial"/>
          <w:spacing w:val="4"/>
        </w:rPr>
        <w:t xml:space="preserve"> </w:t>
      </w:r>
      <w:r w:rsidR="000B7A83" w:rsidRPr="00B86190">
        <w:rPr>
          <w:rFonts w:ascii="Arial" w:hAnsi="Arial" w:cs="Arial"/>
        </w:rPr>
        <w:t>differentiation;</w:t>
      </w:r>
      <w:r w:rsidR="000B7A83" w:rsidRPr="00B86190">
        <w:rPr>
          <w:rFonts w:ascii="Arial" w:hAnsi="Arial" w:cs="Arial"/>
          <w:spacing w:val="-14"/>
        </w:rPr>
        <w:t xml:space="preserve"> </w:t>
      </w:r>
      <w:r w:rsidR="000B7A83">
        <w:rPr>
          <w:rFonts w:ascii="Arial" w:hAnsi="Arial" w:cs="Arial"/>
          <w:spacing w:val="-14"/>
        </w:rPr>
        <w:t>(</w:t>
      </w:r>
      <w:r w:rsidR="000B7A83" w:rsidRPr="00B86190">
        <w:rPr>
          <w:rFonts w:ascii="Arial" w:hAnsi="Arial" w:cs="Arial"/>
        </w:rPr>
        <w:t>3)</w:t>
      </w:r>
      <w:r w:rsidR="000B7A83" w:rsidRPr="00B86190">
        <w:rPr>
          <w:rFonts w:ascii="Arial" w:hAnsi="Arial" w:cs="Arial"/>
          <w:spacing w:val="-6"/>
        </w:rPr>
        <w:t xml:space="preserve"> </w:t>
      </w:r>
      <w:r w:rsidR="000B7A83" w:rsidRPr="00B86190">
        <w:rPr>
          <w:rFonts w:ascii="Arial" w:hAnsi="Arial" w:cs="Arial"/>
        </w:rPr>
        <w:t>a</w:t>
      </w:r>
      <w:r w:rsidR="000B7A83" w:rsidRPr="00B86190">
        <w:rPr>
          <w:rFonts w:ascii="Arial" w:hAnsi="Arial" w:cs="Arial"/>
          <w:spacing w:val="-11"/>
        </w:rPr>
        <w:t xml:space="preserve"> </w:t>
      </w:r>
      <w:r w:rsidR="000B7A83" w:rsidRPr="00B86190">
        <w:rPr>
          <w:rFonts w:ascii="Arial" w:hAnsi="Arial" w:cs="Arial"/>
        </w:rPr>
        <w:t>Molecular</w:t>
      </w:r>
      <w:r w:rsidR="000B7A83" w:rsidRPr="00B86190">
        <w:rPr>
          <w:rFonts w:ascii="Arial" w:hAnsi="Arial" w:cs="Arial"/>
          <w:spacing w:val="-8"/>
        </w:rPr>
        <w:t xml:space="preserve"> </w:t>
      </w:r>
      <w:r w:rsidR="000B7A83" w:rsidRPr="00B86190">
        <w:rPr>
          <w:rFonts w:ascii="Arial" w:hAnsi="Arial" w:cs="Arial"/>
        </w:rPr>
        <w:t>Facility</w:t>
      </w:r>
      <w:r w:rsidR="000B7A83" w:rsidRPr="00B86190">
        <w:rPr>
          <w:rFonts w:ascii="Arial" w:hAnsi="Arial" w:cs="Arial"/>
          <w:spacing w:val="-10"/>
        </w:rPr>
        <w:t xml:space="preserve"> </w:t>
      </w:r>
      <w:r w:rsidR="000B7A83" w:rsidRPr="00B86190">
        <w:rPr>
          <w:rFonts w:ascii="Arial" w:hAnsi="Arial" w:cs="Arial"/>
        </w:rPr>
        <w:t>for</w:t>
      </w:r>
      <w:r w:rsidR="000B7A83" w:rsidRPr="00B86190">
        <w:rPr>
          <w:rFonts w:ascii="Arial" w:hAnsi="Arial" w:cs="Arial"/>
          <w:spacing w:val="-8"/>
        </w:rPr>
        <w:t xml:space="preserve"> </w:t>
      </w:r>
      <w:r w:rsidR="000B7A83" w:rsidRPr="00B86190">
        <w:rPr>
          <w:rFonts w:ascii="Arial" w:hAnsi="Arial" w:cs="Arial"/>
        </w:rPr>
        <w:t>quantifying</w:t>
      </w:r>
      <w:r w:rsidR="000B7A83" w:rsidRPr="00B86190">
        <w:rPr>
          <w:rFonts w:ascii="Arial" w:hAnsi="Arial" w:cs="Arial"/>
          <w:spacing w:val="-11"/>
        </w:rPr>
        <w:t xml:space="preserve"> </w:t>
      </w:r>
      <w:r w:rsidR="000B7A83" w:rsidRPr="00B86190">
        <w:rPr>
          <w:rFonts w:ascii="Arial" w:hAnsi="Arial" w:cs="Arial"/>
        </w:rPr>
        <w:t>nucleic</w:t>
      </w:r>
      <w:r w:rsidR="000B7A83" w:rsidRPr="00B86190">
        <w:rPr>
          <w:rFonts w:ascii="Arial" w:hAnsi="Arial" w:cs="Arial"/>
          <w:spacing w:val="-16"/>
        </w:rPr>
        <w:t xml:space="preserve"> </w:t>
      </w:r>
      <w:r w:rsidR="000B7A83" w:rsidRPr="00B86190">
        <w:rPr>
          <w:rFonts w:ascii="Arial" w:hAnsi="Arial" w:cs="Arial"/>
        </w:rPr>
        <w:t>acids</w:t>
      </w:r>
      <w:r w:rsidR="000B7A83" w:rsidRPr="00B86190">
        <w:rPr>
          <w:rFonts w:ascii="Arial" w:hAnsi="Arial" w:cs="Arial"/>
          <w:spacing w:val="-17"/>
        </w:rPr>
        <w:t xml:space="preserve"> </w:t>
      </w:r>
      <w:r w:rsidR="000B7A83" w:rsidRPr="00B86190">
        <w:rPr>
          <w:rFonts w:ascii="Arial" w:hAnsi="Arial" w:cs="Arial"/>
        </w:rPr>
        <w:t>and</w:t>
      </w:r>
      <w:r w:rsidR="000B7A83" w:rsidRPr="00B86190">
        <w:rPr>
          <w:rFonts w:ascii="Arial" w:hAnsi="Arial" w:cs="Arial"/>
          <w:spacing w:val="-11"/>
        </w:rPr>
        <w:t xml:space="preserve"> </w:t>
      </w:r>
      <w:r w:rsidR="000B7A83" w:rsidRPr="00B86190">
        <w:rPr>
          <w:rFonts w:ascii="Arial" w:hAnsi="Arial" w:cs="Arial"/>
        </w:rPr>
        <w:t>performing</w:t>
      </w:r>
      <w:r w:rsidR="000B7A83" w:rsidRPr="00B86190">
        <w:rPr>
          <w:rFonts w:ascii="Arial" w:hAnsi="Arial" w:cs="Arial"/>
          <w:spacing w:val="-11"/>
        </w:rPr>
        <w:t xml:space="preserve"> </w:t>
      </w:r>
      <w:r w:rsidR="000B7A83" w:rsidRPr="00B86190">
        <w:rPr>
          <w:rFonts w:ascii="Arial" w:hAnsi="Arial" w:cs="Arial"/>
        </w:rPr>
        <w:t>expression</w:t>
      </w:r>
      <w:r w:rsidR="000B7A83" w:rsidRPr="00B86190">
        <w:rPr>
          <w:rFonts w:ascii="Arial" w:hAnsi="Arial" w:cs="Arial"/>
          <w:spacing w:val="-11"/>
        </w:rPr>
        <w:t xml:space="preserve"> </w:t>
      </w:r>
      <w:r w:rsidR="000B7A83" w:rsidRPr="00B86190">
        <w:rPr>
          <w:rFonts w:ascii="Arial" w:hAnsi="Arial" w:cs="Arial"/>
          <w:spacing w:val="-6"/>
        </w:rPr>
        <w:t>analyses;</w:t>
      </w:r>
      <w:r w:rsidR="000B7A83" w:rsidRPr="00B86190">
        <w:rPr>
          <w:rFonts w:ascii="Arial" w:hAnsi="Arial" w:cs="Arial"/>
        </w:rPr>
        <w:t xml:space="preserve"> </w:t>
      </w:r>
      <w:r w:rsidR="000B7A83">
        <w:rPr>
          <w:rFonts w:ascii="Arial" w:hAnsi="Arial" w:cs="Arial"/>
        </w:rPr>
        <w:t>(</w:t>
      </w:r>
      <w:r w:rsidR="000B7A83" w:rsidRPr="00B86190">
        <w:rPr>
          <w:rFonts w:ascii="Arial" w:hAnsi="Arial" w:cs="Arial"/>
        </w:rPr>
        <w:t xml:space="preserve">4) a Proteomic Facility for performing proteomics analyses and related quantitation; </w:t>
      </w:r>
      <w:r w:rsidR="000B7A83">
        <w:rPr>
          <w:rFonts w:ascii="Arial" w:hAnsi="Arial" w:cs="Arial"/>
        </w:rPr>
        <w:t>(</w:t>
      </w:r>
      <w:r w:rsidR="000B7A83" w:rsidRPr="00B86190">
        <w:rPr>
          <w:rFonts w:ascii="Arial" w:hAnsi="Arial" w:cs="Arial"/>
        </w:rPr>
        <w:t xml:space="preserve">5) a Cell Analytics Facility for fluorescent- or impedance-based technologies to sort and evaluate properties of both fixed and living cells; and </w:t>
      </w:r>
      <w:r w:rsidR="000B7A83">
        <w:rPr>
          <w:rFonts w:ascii="Arial" w:hAnsi="Arial" w:cs="Arial"/>
        </w:rPr>
        <w:t>(</w:t>
      </w:r>
      <w:r w:rsidR="000B7A83" w:rsidRPr="00B86190">
        <w:rPr>
          <w:rFonts w:ascii="Arial" w:hAnsi="Arial" w:cs="Arial"/>
        </w:rPr>
        <w:t>6) a Genomics Facility for next generation sequencing and genome modification analyses.</w:t>
      </w:r>
    </w:p>
    <w:p w14:paraId="6680F489" w14:textId="77777777" w:rsidR="000B7A83" w:rsidRDefault="000B7A83" w:rsidP="000B7A83">
      <w:pPr>
        <w:ind w:firstLine="360"/>
        <w:jc w:val="both"/>
        <w:rPr>
          <w:rFonts w:ascii="Arial" w:hAnsi="Arial" w:cs="Arial"/>
        </w:rPr>
      </w:pPr>
      <w:r w:rsidRPr="004B4B52">
        <w:rPr>
          <w:rFonts w:ascii="Arial" w:hAnsi="Arial" w:cs="Arial"/>
          <w:spacing w:val="2"/>
        </w:rPr>
        <w:t>T</w:t>
      </w:r>
      <w:r w:rsidRPr="004B4B52">
        <w:rPr>
          <w:rFonts w:ascii="Arial" w:hAnsi="Arial" w:cs="Arial"/>
        </w:rPr>
        <w:t>he</w:t>
      </w:r>
      <w:r w:rsidRPr="004B4B52">
        <w:rPr>
          <w:rFonts w:ascii="Arial" w:hAnsi="Arial" w:cs="Arial"/>
          <w:spacing w:val="-2"/>
        </w:rPr>
        <w:t xml:space="preserve"> </w:t>
      </w:r>
      <w:r w:rsidRPr="00991F47">
        <w:rPr>
          <w:rFonts w:ascii="Arial" w:hAnsi="Arial" w:cs="Arial"/>
          <w:b/>
          <w:bCs/>
          <w:i/>
          <w:iCs/>
          <w:spacing w:val="-3"/>
        </w:rPr>
        <w:t>C</w:t>
      </w:r>
      <w:r w:rsidRPr="00991F47">
        <w:rPr>
          <w:rFonts w:ascii="Arial" w:hAnsi="Arial" w:cs="Arial"/>
          <w:b/>
          <w:bCs/>
          <w:i/>
          <w:iCs/>
        </w:rPr>
        <w:t>o</w:t>
      </w:r>
      <w:r w:rsidRPr="00991F47">
        <w:rPr>
          <w:rFonts w:ascii="Arial" w:hAnsi="Arial" w:cs="Arial"/>
          <w:b/>
          <w:bCs/>
          <w:i/>
          <w:iCs/>
          <w:spacing w:val="-1"/>
        </w:rPr>
        <w:t>ll</w:t>
      </w:r>
      <w:r w:rsidRPr="00991F47">
        <w:rPr>
          <w:rFonts w:ascii="Arial" w:hAnsi="Arial" w:cs="Arial"/>
          <w:b/>
          <w:bCs/>
          <w:i/>
          <w:iCs/>
        </w:rPr>
        <w:t>e</w:t>
      </w:r>
      <w:r w:rsidRPr="00991F47">
        <w:rPr>
          <w:rFonts w:ascii="Arial" w:hAnsi="Arial" w:cs="Arial"/>
          <w:b/>
          <w:bCs/>
          <w:i/>
          <w:iCs/>
          <w:spacing w:val="2"/>
        </w:rPr>
        <w:t>g</w:t>
      </w:r>
      <w:r w:rsidRPr="00991F47">
        <w:rPr>
          <w:rFonts w:ascii="Arial" w:hAnsi="Arial" w:cs="Arial"/>
          <w:b/>
          <w:bCs/>
          <w:i/>
          <w:iCs/>
        </w:rPr>
        <w:t>e</w:t>
      </w:r>
      <w:r w:rsidRPr="00991F47">
        <w:rPr>
          <w:rFonts w:ascii="Arial" w:hAnsi="Arial" w:cs="Arial"/>
          <w:b/>
          <w:bCs/>
          <w:i/>
          <w:iCs/>
          <w:spacing w:val="1"/>
        </w:rPr>
        <w:t xml:space="preserve"> </w:t>
      </w:r>
      <w:r w:rsidRPr="00991F47">
        <w:rPr>
          <w:rFonts w:ascii="Arial" w:hAnsi="Arial" w:cs="Arial"/>
          <w:b/>
          <w:bCs/>
          <w:i/>
          <w:iCs/>
          <w:spacing w:val="-3"/>
        </w:rPr>
        <w:t>o</w:t>
      </w:r>
      <w:r w:rsidRPr="00991F47">
        <w:rPr>
          <w:rFonts w:ascii="Arial" w:hAnsi="Arial" w:cs="Arial"/>
          <w:b/>
          <w:bCs/>
          <w:i/>
          <w:iCs/>
        </w:rPr>
        <w:t>f</w:t>
      </w:r>
      <w:r w:rsidRPr="00991F47">
        <w:rPr>
          <w:rFonts w:ascii="Arial" w:hAnsi="Arial" w:cs="Arial"/>
          <w:b/>
          <w:bCs/>
          <w:i/>
          <w:iCs/>
          <w:spacing w:val="2"/>
        </w:rPr>
        <w:t xml:space="preserve"> </w:t>
      </w:r>
      <w:r w:rsidRPr="00991F47">
        <w:rPr>
          <w:rFonts w:ascii="Arial" w:hAnsi="Arial" w:cs="Arial"/>
          <w:b/>
          <w:bCs/>
          <w:i/>
          <w:iCs/>
          <w:spacing w:val="-1"/>
        </w:rPr>
        <w:t>N</w:t>
      </w:r>
      <w:r w:rsidRPr="00991F47">
        <w:rPr>
          <w:rFonts w:ascii="Arial" w:hAnsi="Arial" w:cs="Arial"/>
          <w:b/>
          <w:bCs/>
          <w:i/>
          <w:iCs/>
        </w:rPr>
        <w:t>u</w:t>
      </w:r>
      <w:r w:rsidRPr="00991F47">
        <w:rPr>
          <w:rFonts w:ascii="Arial" w:hAnsi="Arial" w:cs="Arial"/>
          <w:b/>
          <w:bCs/>
          <w:i/>
          <w:iCs/>
          <w:spacing w:val="1"/>
        </w:rPr>
        <w:t>r</w:t>
      </w:r>
      <w:r w:rsidRPr="00991F47">
        <w:rPr>
          <w:rFonts w:ascii="Arial" w:hAnsi="Arial" w:cs="Arial"/>
          <w:b/>
          <w:bCs/>
          <w:i/>
          <w:iCs/>
        </w:rPr>
        <w:t>s</w:t>
      </w:r>
      <w:r w:rsidRPr="00991F47">
        <w:rPr>
          <w:rFonts w:ascii="Arial" w:hAnsi="Arial" w:cs="Arial"/>
          <w:b/>
          <w:bCs/>
          <w:i/>
          <w:iCs/>
          <w:spacing w:val="-1"/>
        </w:rPr>
        <w:t>i</w:t>
      </w:r>
      <w:r w:rsidRPr="00991F47">
        <w:rPr>
          <w:rFonts w:ascii="Arial" w:hAnsi="Arial" w:cs="Arial"/>
          <w:b/>
          <w:bCs/>
          <w:i/>
          <w:iCs/>
          <w:spacing w:val="-3"/>
        </w:rPr>
        <w:t>n</w:t>
      </w:r>
      <w:r w:rsidRPr="00991F47">
        <w:rPr>
          <w:rFonts w:ascii="Arial" w:hAnsi="Arial" w:cs="Arial"/>
          <w:b/>
          <w:bCs/>
          <w:i/>
          <w:iCs/>
        </w:rPr>
        <w:t>g</w:t>
      </w:r>
      <w:r w:rsidRPr="004B4B52">
        <w:rPr>
          <w:rFonts w:ascii="Arial" w:hAnsi="Arial" w:cs="Arial"/>
          <w:spacing w:val="1"/>
        </w:rPr>
        <w:t xml:space="preserve"> </w:t>
      </w:r>
      <w:r w:rsidRPr="004B4B52">
        <w:rPr>
          <w:rFonts w:ascii="Arial" w:hAnsi="Arial" w:cs="Arial"/>
          <w:spacing w:val="-1"/>
        </w:rPr>
        <w:t>i</w:t>
      </w:r>
      <w:r w:rsidRPr="004B4B52">
        <w:rPr>
          <w:rFonts w:ascii="Arial" w:hAnsi="Arial" w:cs="Arial"/>
        </w:rPr>
        <w:t>s</w:t>
      </w:r>
      <w:r w:rsidRPr="004B4B52">
        <w:rPr>
          <w:rFonts w:ascii="Arial" w:hAnsi="Arial" w:cs="Arial"/>
          <w:spacing w:val="1"/>
        </w:rPr>
        <w:t xml:space="preserve"> r</w:t>
      </w:r>
      <w:r w:rsidRPr="004B4B52">
        <w:rPr>
          <w:rFonts w:ascii="Arial" w:hAnsi="Arial" w:cs="Arial"/>
          <w:spacing w:val="-3"/>
        </w:rPr>
        <w:t>e</w:t>
      </w:r>
      <w:r w:rsidRPr="004B4B52">
        <w:rPr>
          <w:rFonts w:ascii="Arial" w:hAnsi="Arial" w:cs="Arial"/>
        </w:rPr>
        <w:t>c</w:t>
      </w:r>
      <w:r w:rsidRPr="004B4B52">
        <w:rPr>
          <w:rFonts w:ascii="Arial" w:hAnsi="Arial" w:cs="Arial"/>
          <w:spacing w:val="-3"/>
        </w:rPr>
        <w:t>o</w:t>
      </w:r>
      <w:r w:rsidRPr="004B4B52">
        <w:rPr>
          <w:rFonts w:ascii="Arial" w:hAnsi="Arial" w:cs="Arial"/>
          <w:spacing w:val="2"/>
        </w:rPr>
        <w:t>g</w:t>
      </w:r>
      <w:r w:rsidRPr="004B4B52">
        <w:rPr>
          <w:rFonts w:ascii="Arial" w:hAnsi="Arial" w:cs="Arial"/>
        </w:rPr>
        <w:t>n</w:t>
      </w:r>
      <w:r w:rsidRPr="004B4B52">
        <w:rPr>
          <w:rFonts w:ascii="Arial" w:hAnsi="Arial" w:cs="Arial"/>
          <w:spacing w:val="-1"/>
        </w:rPr>
        <w:t>i</w:t>
      </w:r>
      <w:r w:rsidRPr="004B4B52">
        <w:rPr>
          <w:rFonts w:ascii="Arial" w:hAnsi="Arial" w:cs="Arial"/>
          <w:spacing w:val="-2"/>
        </w:rPr>
        <w:t>z</w:t>
      </w:r>
      <w:r w:rsidRPr="004B4B52">
        <w:rPr>
          <w:rFonts w:ascii="Arial" w:hAnsi="Arial" w:cs="Arial"/>
        </w:rPr>
        <w:t>ed</w:t>
      </w:r>
      <w:r w:rsidRPr="004B4B52">
        <w:rPr>
          <w:rFonts w:ascii="Arial" w:hAnsi="Arial" w:cs="Arial"/>
          <w:spacing w:val="1"/>
        </w:rPr>
        <w:t xml:space="preserve"> </w:t>
      </w:r>
      <w:r w:rsidRPr="004B4B52">
        <w:rPr>
          <w:rFonts w:ascii="Arial" w:hAnsi="Arial" w:cs="Arial"/>
        </w:rPr>
        <w:t>na</w:t>
      </w:r>
      <w:r w:rsidRPr="004B4B52">
        <w:rPr>
          <w:rFonts w:ascii="Arial" w:hAnsi="Arial" w:cs="Arial"/>
          <w:spacing w:val="1"/>
        </w:rPr>
        <w:t>t</w:t>
      </w:r>
      <w:r w:rsidRPr="004B4B52">
        <w:rPr>
          <w:rFonts w:ascii="Arial" w:hAnsi="Arial" w:cs="Arial"/>
          <w:spacing w:val="-1"/>
        </w:rPr>
        <w:t>i</w:t>
      </w:r>
      <w:r w:rsidRPr="004B4B52">
        <w:rPr>
          <w:rFonts w:ascii="Arial" w:hAnsi="Arial" w:cs="Arial"/>
        </w:rPr>
        <w:t>ona</w:t>
      </w:r>
      <w:r w:rsidRPr="004B4B52">
        <w:rPr>
          <w:rFonts w:ascii="Arial" w:hAnsi="Arial" w:cs="Arial"/>
          <w:spacing w:val="-1"/>
        </w:rPr>
        <w:t>ll</w:t>
      </w:r>
      <w:r w:rsidRPr="004B4B52">
        <w:rPr>
          <w:rFonts w:ascii="Arial" w:hAnsi="Arial" w:cs="Arial"/>
        </w:rPr>
        <w:t>y</w:t>
      </w:r>
      <w:r w:rsidRPr="004B4B52">
        <w:rPr>
          <w:rFonts w:ascii="Arial" w:hAnsi="Arial" w:cs="Arial"/>
          <w:spacing w:val="-1"/>
        </w:rPr>
        <w:t xml:space="preserve"> </w:t>
      </w:r>
      <w:r w:rsidRPr="004B4B52">
        <w:rPr>
          <w:rFonts w:ascii="Arial" w:hAnsi="Arial" w:cs="Arial"/>
        </w:rPr>
        <w:t>and</w:t>
      </w:r>
      <w:r w:rsidRPr="004B4B52">
        <w:rPr>
          <w:rFonts w:ascii="Arial" w:hAnsi="Arial" w:cs="Arial"/>
          <w:spacing w:val="1"/>
        </w:rPr>
        <w:t xml:space="preserve"> </w:t>
      </w:r>
      <w:r w:rsidRPr="004B4B52">
        <w:rPr>
          <w:rFonts w:ascii="Arial" w:hAnsi="Arial" w:cs="Arial"/>
          <w:spacing w:val="-1"/>
        </w:rPr>
        <w:t>i</w:t>
      </w:r>
      <w:r w:rsidRPr="004B4B52">
        <w:rPr>
          <w:rFonts w:ascii="Arial" w:hAnsi="Arial" w:cs="Arial"/>
        </w:rPr>
        <w:t>n</w:t>
      </w:r>
      <w:r w:rsidRPr="004B4B52">
        <w:rPr>
          <w:rFonts w:ascii="Arial" w:hAnsi="Arial" w:cs="Arial"/>
          <w:spacing w:val="1"/>
        </w:rPr>
        <w:t>t</w:t>
      </w:r>
      <w:r w:rsidRPr="004B4B52">
        <w:rPr>
          <w:rFonts w:ascii="Arial" w:hAnsi="Arial" w:cs="Arial"/>
        </w:rPr>
        <w:t>e</w:t>
      </w:r>
      <w:r w:rsidRPr="004B4B52">
        <w:rPr>
          <w:rFonts w:ascii="Arial" w:hAnsi="Arial" w:cs="Arial"/>
          <w:spacing w:val="1"/>
        </w:rPr>
        <w:t>r</w:t>
      </w:r>
      <w:r w:rsidRPr="004B4B52">
        <w:rPr>
          <w:rFonts w:ascii="Arial" w:hAnsi="Arial" w:cs="Arial"/>
        </w:rPr>
        <w:t>na</w:t>
      </w:r>
      <w:r w:rsidRPr="004B4B52">
        <w:rPr>
          <w:rFonts w:ascii="Arial" w:hAnsi="Arial" w:cs="Arial"/>
          <w:spacing w:val="1"/>
        </w:rPr>
        <w:t>t</w:t>
      </w:r>
      <w:r w:rsidRPr="004B4B52">
        <w:rPr>
          <w:rFonts w:ascii="Arial" w:hAnsi="Arial" w:cs="Arial"/>
          <w:spacing w:val="-1"/>
        </w:rPr>
        <w:t>i</w:t>
      </w:r>
      <w:r w:rsidRPr="004B4B52">
        <w:rPr>
          <w:rFonts w:ascii="Arial" w:hAnsi="Arial" w:cs="Arial"/>
        </w:rPr>
        <w:t>ona</w:t>
      </w:r>
      <w:r w:rsidRPr="004B4B52">
        <w:rPr>
          <w:rFonts w:ascii="Arial" w:hAnsi="Arial" w:cs="Arial"/>
          <w:spacing w:val="-1"/>
        </w:rPr>
        <w:t>ll</w:t>
      </w:r>
      <w:r w:rsidRPr="004B4B52">
        <w:rPr>
          <w:rFonts w:ascii="Arial" w:hAnsi="Arial" w:cs="Arial"/>
        </w:rPr>
        <w:t>y</w:t>
      </w:r>
      <w:r w:rsidRPr="004B4B52">
        <w:rPr>
          <w:rFonts w:ascii="Arial" w:hAnsi="Arial" w:cs="Arial"/>
          <w:spacing w:val="-1"/>
        </w:rPr>
        <w:t xml:space="preserve"> </w:t>
      </w:r>
      <w:r w:rsidRPr="004B4B52">
        <w:rPr>
          <w:rFonts w:ascii="Arial" w:hAnsi="Arial" w:cs="Arial"/>
          <w:spacing w:val="3"/>
        </w:rPr>
        <w:t>f</w:t>
      </w:r>
      <w:r w:rsidRPr="004B4B52">
        <w:rPr>
          <w:rFonts w:ascii="Arial" w:hAnsi="Arial" w:cs="Arial"/>
          <w:spacing w:val="-3"/>
        </w:rPr>
        <w:t>o</w:t>
      </w:r>
      <w:r w:rsidRPr="004B4B52">
        <w:rPr>
          <w:rFonts w:ascii="Arial" w:hAnsi="Arial" w:cs="Arial"/>
        </w:rPr>
        <w:t>r</w:t>
      </w:r>
      <w:r w:rsidRPr="004B4B52">
        <w:rPr>
          <w:rFonts w:ascii="Arial" w:hAnsi="Arial" w:cs="Arial"/>
          <w:spacing w:val="2"/>
        </w:rPr>
        <w:t xml:space="preserve"> </w:t>
      </w:r>
      <w:r w:rsidRPr="004B4B52">
        <w:rPr>
          <w:rFonts w:ascii="Arial" w:hAnsi="Arial" w:cs="Arial"/>
          <w:spacing w:val="-1"/>
        </w:rPr>
        <w:t>it</w:t>
      </w:r>
      <w:r w:rsidRPr="004B4B52">
        <w:rPr>
          <w:rFonts w:ascii="Arial" w:hAnsi="Arial" w:cs="Arial"/>
        </w:rPr>
        <w:t>s</w:t>
      </w:r>
      <w:r w:rsidRPr="004B4B52">
        <w:rPr>
          <w:rFonts w:ascii="Arial" w:hAnsi="Arial" w:cs="Arial"/>
          <w:spacing w:val="1"/>
        </w:rPr>
        <w:t xml:space="preserve"> </w:t>
      </w:r>
      <w:r w:rsidRPr="004B4B52">
        <w:rPr>
          <w:rFonts w:ascii="Arial" w:hAnsi="Arial" w:cs="Arial"/>
          <w:spacing w:val="-1"/>
        </w:rPr>
        <w:t>i</w:t>
      </w:r>
      <w:r w:rsidRPr="004B4B52">
        <w:rPr>
          <w:rFonts w:ascii="Arial" w:hAnsi="Arial" w:cs="Arial"/>
        </w:rPr>
        <w:t>nno</w:t>
      </w:r>
      <w:r w:rsidRPr="004B4B52">
        <w:rPr>
          <w:rFonts w:ascii="Arial" w:hAnsi="Arial" w:cs="Arial"/>
          <w:spacing w:val="-2"/>
        </w:rPr>
        <w:t>v</w:t>
      </w:r>
      <w:r w:rsidRPr="004B4B52">
        <w:rPr>
          <w:rFonts w:ascii="Arial" w:hAnsi="Arial" w:cs="Arial"/>
        </w:rPr>
        <w:t>a</w:t>
      </w:r>
      <w:r w:rsidRPr="004B4B52">
        <w:rPr>
          <w:rFonts w:ascii="Arial" w:hAnsi="Arial" w:cs="Arial"/>
          <w:spacing w:val="1"/>
        </w:rPr>
        <w:t>t</w:t>
      </w:r>
      <w:r w:rsidRPr="004B4B52">
        <w:rPr>
          <w:rFonts w:ascii="Arial" w:hAnsi="Arial" w:cs="Arial"/>
          <w:spacing w:val="-1"/>
        </w:rPr>
        <w:t>i</w:t>
      </w:r>
      <w:r w:rsidRPr="004B4B52">
        <w:rPr>
          <w:rFonts w:ascii="Arial" w:hAnsi="Arial" w:cs="Arial"/>
          <w:spacing w:val="-2"/>
        </w:rPr>
        <w:t>v</w:t>
      </w:r>
      <w:r w:rsidRPr="004B4B52">
        <w:rPr>
          <w:rFonts w:ascii="Arial" w:hAnsi="Arial" w:cs="Arial"/>
        </w:rPr>
        <w:t>e app</w:t>
      </w:r>
      <w:r w:rsidRPr="004B4B52">
        <w:rPr>
          <w:rFonts w:ascii="Arial" w:hAnsi="Arial" w:cs="Arial"/>
          <w:spacing w:val="1"/>
        </w:rPr>
        <w:t>r</w:t>
      </w:r>
      <w:r w:rsidRPr="004B4B52">
        <w:rPr>
          <w:rFonts w:ascii="Arial" w:hAnsi="Arial" w:cs="Arial"/>
        </w:rPr>
        <w:t>oaches</w:t>
      </w:r>
      <w:r w:rsidRPr="004B4B52">
        <w:rPr>
          <w:rFonts w:ascii="Arial" w:hAnsi="Arial" w:cs="Arial"/>
          <w:spacing w:val="-1"/>
        </w:rPr>
        <w:t xml:space="preserve"> </w:t>
      </w:r>
      <w:r w:rsidRPr="004B4B52">
        <w:rPr>
          <w:rFonts w:ascii="Arial" w:hAnsi="Arial" w:cs="Arial"/>
          <w:spacing w:val="1"/>
        </w:rPr>
        <w:t>t</w:t>
      </w:r>
      <w:r w:rsidRPr="004B4B52">
        <w:rPr>
          <w:rFonts w:ascii="Arial" w:hAnsi="Arial" w:cs="Arial"/>
        </w:rPr>
        <w:t>o</w:t>
      </w:r>
      <w:r w:rsidRPr="004B4B52">
        <w:rPr>
          <w:rFonts w:ascii="Arial" w:hAnsi="Arial" w:cs="Arial"/>
          <w:spacing w:val="-2"/>
        </w:rPr>
        <w:t xml:space="preserve"> </w:t>
      </w:r>
      <w:r w:rsidRPr="004B4B52">
        <w:rPr>
          <w:rFonts w:ascii="Arial" w:hAnsi="Arial" w:cs="Arial"/>
        </w:rPr>
        <w:t>nu</w:t>
      </w:r>
      <w:r w:rsidRPr="004B4B52">
        <w:rPr>
          <w:rFonts w:ascii="Arial" w:hAnsi="Arial" w:cs="Arial"/>
          <w:spacing w:val="1"/>
        </w:rPr>
        <w:t>r</w:t>
      </w:r>
      <w:r w:rsidRPr="004B4B52">
        <w:rPr>
          <w:rFonts w:ascii="Arial" w:hAnsi="Arial" w:cs="Arial"/>
        </w:rPr>
        <w:t>s</w:t>
      </w:r>
      <w:r w:rsidRPr="004B4B52">
        <w:rPr>
          <w:rFonts w:ascii="Arial" w:hAnsi="Arial" w:cs="Arial"/>
          <w:spacing w:val="-1"/>
        </w:rPr>
        <w:t>i</w:t>
      </w:r>
      <w:r w:rsidRPr="004B4B52">
        <w:rPr>
          <w:rFonts w:ascii="Arial" w:hAnsi="Arial" w:cs="Arial"/>
          <w:spacing w:val="-3"/>
        </w:rPr>
        <w:t>n</w:t>
      </w:r>
      <w:r w:rsidRPr="004B4B52">
        <w:rPr>
          <w:rFonts w:ascii="Arial" w:hAnsi="Arial" w:cs="Arial"/>
        </w:rPr>
        <w:t>g</w:t>
      </w:r>
      <w:r w:rsidRPr="004B4B52">
        <w:rPr>
          <w:rFonts w:ascii="Arial" w:hAnsi="Arial" w:cs="Arial"/>
          <w:spacing w:val="3"/>
        </w:rPr>
        <w:t xml:space="preserve"> research, scholarship, and </w:t>
      </w:r>
      <w:r w:rsidRPr="004B4B52">
        <w:rPr>
          <w:rFonts w:ascii="Arial" w:hAnsi="Arial" w:cs="Arial"/>
          <w:spacing w:val="-3"/>
        </w:rPr>
        <w:t>e</w:t>
      </w:r>
      <w:r w:rsidRPr="004B4B52">
        <w:rPr>
          <w:rFonts w:ascii="Arial" w:hAnsi="Arial" w:cs="Arial"/>
        </w:rPr>
        <w:t>duca</w:t>
      </w:r>
      <w:r w:rsidRPr="004B4B52">
        <w:rPr>
          <w:rFonts w:ascii="Arial" w:hAnsi="Arial" w:cs="Arial"/>
          <w:spacing w:val="1"/>
        </w:rPr>
        <w:t>t</w:t>
      </w:r>
      <w:r w:rsidRPr="004B4B52">
        <w:rPr>
          <w:rFonts w:ascii="Arial" w:hAnsi="Arial" w:cs="Arial"/>
          <w:spacing w:val="-1"/>
        </w:rPr>
        <w:t>i</w:t>
      </w:r>
      <w:r w:rsidRPr="004B4B52">
        <w:rPr>
          <w:rFonts w:ascii="Arial" w:hAnsi="Arial" w:cs="Arial"/>
        </w:rPr>
        <w:t>on</w:t>
      </w:r>
      <w:r w:rsidRPr="004B4B52">
        <w:rPr>
          <w:rFonts w:ascii="Arial" w:hAnsi="Arial" w:cs="Arial"/>
          <w:spacing w:val="1"/>
        </w:rPr>
        <w:t xml:space="preserve"> </w:t>
      </w:r>
      <w:r w:rsidRPr="004B4B52">
        <w:rPr>
          <w:rFonts w:ascii="Arial" w:hAnsi="Arial" w:cs="Arial"/>
          <w:spacing w:val="-4"/>
        </w:rPr>
        <w:t>w</w:t>
      </w:r>
      <w:r w:rsidRPr="004B4B52">
        <w:rPr>
          <w:rFonts w:ascii="Arial" w:hAnsi="Arial" w:cs="Arial"/>
          <w:spacing w:val="-1"/>
        </w:rPr>
        <w:t>i</w:t>
      </w:r>
      <w:r w:rsidRPr="004B4B52">
        <w:rPr>
          <w:rFonts w:ascii="Arial" w:hAnsi="Arial" w:cs="Arial"/>
          <w:spacing w:val="1"/>
        </w:rPr>
        <w:t>t</w:t>
      </w:r>
      <w:r w:rsidRPr="004B4B52">
        <w:rPr>
          <w:rFonts w:ascii="Arial" w:hAnsi="Arial" w:cs="Arial"/>
        </w:rPr>
        <w:t>h</w:t>
      </w:r>
      <w:r w:rsidRPr="004B4B52">
        <w:rPr>
          <w:rFonts w:ascii="Arial" w:hAnsi="Arial" w:cs="Arial"/>
          <w:spacing w:val="-1"/>
        </w:rPr>
        <w:t>i</w:t>
      </w:r>
      <w:r w:rsidRPr="004B4B52">
        <w:rPr>
          <w:rFonts w:ascii="Arial" w:hAnsi="Arial" w:cs="Arial"/>
        </w:rPr>
        <w:t>n</w:t>
      </w:r>
      <w:r w:rsidRPr="004B4B52">
        <w:rPr>
          <w:rFonts w:ascii="Arial" w:hAnsi="Arial" w:cs="Arial"/>
          <w:spacing w:val="1"/>
        </w:rPr>
        <w:t xml:space="preserve"> </w:t>
      </w:r>
      <w:r w:rsidRPr="004B4B52">
        <w:rPr>
          <w:rFonts w:ascii="Arial" w:hAnsi="Arial" w:cs="Arial"/>
        </w:rPr>
        <w:t>a</w:t>
      </w:r>
      <w:r w:rsidRPr="004B4B52">
        <w:rPr>
          <w:rFonts w:ascii="Arial" w:hAnsi="Arial" w:cs="Arial"/>
          <w:spacing w:val="1"/>
        </w:rPr>
        <w:t xml:space="preserve"> </w:t>
      </w:r>
      <w:r w:rsidRPr="002732AC">
        <w:rPr>
          <w:rFonts w:ascii="Arial" w:hAnsi="Arial" w:cs="Arial"/>
          <w:bCs/>
        </w:rPr>
        <w:t>ca</w:t>
      </w:r>
      <w:r w:rsidRPr="002732AC">
        <w:rPr>
          <w:rFonts w:ascii="Arial" w:hAnsi="Arial" w:cs="Arial"/>
          <w:bCs/>
          <w:spacing w:val="1"/>
        </w:rPr>
        <w:t>r</w:t>
      </w:r>
      <w:r w:rsidRPr="002732AC">
        <w:rPr>
          <w:rFonts w:ascii="Arial" w:hAnsi="Arial" w:cs="Arial"/>
          <w:bCs/>
          <w:spacing w:val="-1"/>
        </w:rPr>
        <w:t>i</w:t>
      </w:r>
      <w:r w:rsidRPr="002732AC">
        <w:rPr>
          <w:rFonts w:ascii="Arial" w:hAnsi="Arial" w:cs="Arial"/>
          <w:bCs/>
          <w:spacing w:val="-3"/>
        </w:rPr>
        <w:t>n</w:t>
      </w:r>
      <w:r w:rsidRPr="002732AC">
        <w:rPr>
          <w:rFonts w:ascii="Arial" w:hAnsi="Arial" w:cs="Arial"/>
          <w:bCs/>
        </w:rPr>
        <w:t>g</w:t>
      </w:r>
      <w:r w:rsidRPr="002732AC">
        <w:rPr>
          <w:rFonts w:ascii="Arial" w:hAnsi="Arial" w:cs="Arial"/>
          <w:bCs/>
          <w:spacing w:val="1"/>
        </w:rPr>
        <w:t xml:space="preserve"> </w:t>
      </w:r>
      <w:r w:rsidRPr="002732AC">
        <w:rPr>
          <w:rFonts w:ascii="Arial" w:hAnsi="Arial" w:cs="Arial"/>
          <w:bCs/>
        </w:rPr>
        <w:t>ph</w:t>
      </w:r>
      <w:r w:rsidRPr="002732AC">
        <w:rPr>
          <w:rFonts w:ascii="Arial" w:hAnsi="Arial" w:cs="Arial"/>
          <w:bCs/>
          <w:spacing w:val="-1"/>
        </w:rPr>
        <w:t>il</w:t>
      </w:r>
      <w:r w:rsidRPr="002732AC">
        <w:rPr>
          <w:rFonts w:ascii="Arial" w:hAnsi="Arial" w:cs="Arial"/>
          <w:bCs/>
        </w:rPr>
        <w:t>osoph</w:t>
      </w:r>
      <w:r w:rsidRPr="002732AC">
        <w:rPr>
          <w:rFonts w:ascii="Arial" w:hAnsi="Arial" w:cs="Arial"/>
          <w:bCs/>
          <w:spacing w:val="-2"/>
        </w:rPr>
        <w:t>y</w:t>
      </w:r>
      <w:r w:rsidRPr="002732AC">
        <w:rPr>
          <w:rFonts w:ascii="Arial" w:hAnsi="Arial" w:cs="Arial"/>
          <w:bCs/>
        </w:rPr>
        <w:t>.</w:t>
      </w:r>
      <w:r w:rsidRPr="004B4B52">
        <w:rPr>
          <w:rFonts w:ascii="Arial" w:hAnsi="Arial" w:cs="Arial"/>
          <w:spacing w:val="2"/>
        </w:rPr>
        <w:t xml:space="preserve"> T</w:t>
      </w:r>
      <w:r w:rsidRPr="004B4B52">
        <w:rPr>
          <w:rFonts w:ascii="Arial" w:hAnsi="Arial" w:cs="Arial"/>
        </w:rPr>
        <w:t>he</w:t>
      </w:r>
      <w:r w:rsidRPr="004B4B52">
        <w:rPr>
          <w:rFonts w:ascii="Arial" w:hAnsi="Arial" w:cs="Arial"/>
          <w:spacing w:val="1"/>
        </w:rPr>
        <w:t xml:space="preserve"> C</w:t>
      </w:r>
      <w:r w:rsidRPr="004B4B52">
        <w:rPr>
          <w:rFonts w:ascii="Arial" w:hAnsi="Arial" w:cs="Arial"/>
        </w:rPr>
        <w:t>o</w:t>
      </w:r>
      <w:r w:rsidRPr="004B4B52">
        <w:rPr>
          <w:rFonts w:ascii="Arial" w:hAnsi="Arial" w:cs="Arial"/>
          <w:spacing w:val="-1"/>
        </w:rPr>
        <w:t>ll</w:t>
      </w:r>
      <w:r w:rsidRPr="004B4B52">
        <w:rPr>
          <w:rFonts w:ascii="Arial" w:hAnsi="Arial" w:cs="Arial"/>
          <w:spacing w:val="-3"/>
        </w:rPr>
        <w:t>e</w:t>
      </w:r>
      <w:r w:rsidRPr="004B4B52">
        <w:rPr>
          <w:rFonts w:ascii="Arial" w:hAnsi="Arial" w:cs="Arial"/>
          <w:spacing w:val="2"/>
        </w:rPr>
        <w:t>g</w:t>
      </w:r>
      <w:r w:rsidRPr="004B4B52">
        <w:rPr>
          <w:rFonts w:ascii="Arial" w:hAnsi="Arial" w:cs="Arial"/>
        </w:rPr>
        <w:t>e</w:t>
      </w:r>
      <w:r w:rsidRPr="004B4B52">
        <w:rPr>
          <w:rFonts w:ascii="Arial" w:hAnsi="Arial" w:cs="Arial"/>
          <w:spacing w:val="-2"/>
        </w:rPr>
        <w:t xml:space="preserve"> </w:t>
      </w:r>
      <w:r w:rsidRPr="004B4B52">
        <w:rPr>
          <w:rFonts w:ascii="Arial" w:hAnsi="Arial" w:cs="Arial"/>
        </w:rPr>
        <w:t>c</w:t>
      </w:r>
      <w:r w:rsidRPr="004B4B52">
        <w:rPr>
          <w:rFonts w:ascii="Arial" w:hAnsi="Arial" w:cs="Arial"/>
          <w:spacing w:val="1"/>
        </w:rPr>
        <w:t>r</w:t>
      </w:r>
      <w:r w:rsidRPr="004B4B52">
        <w:rPr>
          <w:rFonts w:ascii="Arial" w:hAnsi="Arial" w:cs="Arial"/>
        </w:rPr>
        <w:t>ea</w:t>
      </w:r>
      <w:r w:rsidRPr="004B4B52">
        <w:rPr>
          <w:rFonts w:ascii="Arial" w:hAnsi="Arial" w:cs="Arial"/>
          <w:spacing w:val="1"/>
        </w:rPr>
        <w:t>t</w:t>
      </w:r>
      <w:r w:rsidRPr="004B4B52">
        <w:rPr>
          <w:rFonts w:ascii="Arial" w:hAnsi="Arial" w:cs="Arial"/>
        </w:rPr>
        <w:t>es</w:t>
      </w:r>
      <w:r w:rsidRPr="004B4B52">
        <w:rPr>
          <w:rFonts w:ascii="Arial" w:hAnsi="Arial" w:cs="Arial"/>
          <w:spacing w:val="-1"/>
        </w:rPr>
        <w:t xml:space="preserve"> </w:t>
      </w:r>
      <w:r w:rsidRPr="004B4B52">
        <w:rPr>
          <w:rFonts w:ascii="Arial" w:hAnsi="Arial" w:cs="Arial"/>
        </w:rPr>
        <w:t>a</w:t>
      </w:r>
      <w:r w:rsidRPr="004B4B52">
        <w:rPr>
          <w:rFonts w:ascii="Arial" w:hAnsi="Arial" w:cs="Arial"/>
          <w:spacing w:val="-2"/>
        </w:rPr>
        <w:t xml:space="preserve"> </w:t>
      </w:r>
      <w:r w:rsidRPr="004B4B52">
        <w:rPr>
          <w:rFonts w:ascii="Arial" w:hAnsi="Arial" w:cs="Arial"/>
        </w:rPr>
        <w:t>con</w:t>
      </w:r>
      <w:r w:rsidRPr="004B4B52">
        <w:rPr>
          <w:rFonts w:ascii="Arial" w:hAnsi="Arial" w:cs="Arial"/>
          <w:spacing w:val="1"/>
        </w:rPr>
        <w:t>t</w:t>
      </w:r>
      <w:r w:rsidRPr="004B4B52">
        <w:rPr>
          <w:rFonts w:ascii="Arial" w:hAnsi="Arial" w:cs="Arial"/>
        </w:rPr>
        <w:t>e</w:t>
      </w:r>
      <w:r w:rsidRPr="004B4B52">
        <w:rPr>
          <w:rFonts w:ascii="Arial" w:hAnsi="Arial" w:cs="Arial"/>
          <w:spacing w:val="-2"/>
        </w:rPr>
        <w:t>x</w:t>
      </w:r>
      <w:r w:rsidRPr="004B4B52">
        <w:rPr>
          <w:rFonts w:ascii="Arial" w:hAnsi="Arial" w:cs="Arial"/>
        </w:rPr>
        <w:t xml:space="preserve">t </w:t>
      </w:r>
      <w:r w:rsidRPr="004B4B52">
        <w:rPr>
          <w:rFonts w:ascii="Arial" w:hAnsi="Arial" w:cs="Arial"/>
          <w:spacing w:val="1"/>
        </w:rPr>
        <w:t>f</w:t>
      </w:r>
      <w:r w:rsidRPr="004B4B52">
        <w:rPr>
          <w:rFonts w:ascii="Arial" w:hAnsi="Arial" w:cs="Arial"/>
        </w:rPr>
        <w:t xml:space="preserve">or </w:t>
      </w:r>
      <w:r w:rsidRPr="004B4B52">
        <w:rPr>
          <w:rFonts w:ascii="Arial" w:hAnsi="Arial" w:cs="Arial"/>
          <w:spacing w:val="-1"/>
        </w:rPr>
        <w:t>l</w:t>
      </w:r>
      <w:r w:rsidRPr="004B4B52">
        <w:rPr>
          <w:rFonts w:ascii="Arial" w:hAnsi="Arial" w:cs="Arial"/>
        </w:rPr>
        <w:t>ea</w:t>
      </w:r>
      <w:r w:rsidRPr="004B4B52">
        <w:rPr>
          <w:rFonts w:ascii="Arial" w:hAnsi="Arial" w:cs="Arial"/>
          <w:spacing w:val="-2"/>
        </w:rPr>
        <w:t>r</w:t>
      </w:r>
      <w:r w:rsidRPr="004B4B52">
        <w:rPr>
          <w:rFonts w:ascii="Arial" w:hAnsi="Arial" w:cs="Arial"/>
        </w:rPr>
        <w:t>n</w:t>
      </w:r>
      <w:r w:rsidRPr="004B4B52">
        <w:rPr>
          <w:rFonts w:ascii="Arial" w:hAnsi="Arial" w:cs="Arial"/>
          <w:spacing w:val="-1"/>
        </w:rPr>
        <w:t>i</w:t>
      </w:r>
      <w:r w:rsidRPr="004B4B52">
        <w:rPr>
          <w:rFonts w:ascii="Arial" w:hAnsi="Arial" w:cs="Arial"/>
        </w:rPr>
        <w:t>ng</w:t>
      </w:r>
      <w:r w:rsidRPr="004B4B52">
        <w:rPr>
          <w:rFonts w:ascii="Arial" w:hAnsi="Arial" w:cs="Arial"/>
          <w:spacing w:val="1"/>
        </w:rPr>
        <w:t xml:space="preserve"> </w:t>
      </w:r>
      <w:r w:rsidRPr="004B4B52">
        <w:rPr>
          <w:rFonts w:ascii="Arial" w:hAnsi="Arial" w:cs="Arial"/>
          <w:spacing w:val="4"/>
        </w:rPr>
        <w:t>t</w:t>
      </w:r>
      <w:r w:rsidRPr="004B4B52">
        <w:rPr>
          <w:rFonts w:ascii="Arial" w:hAnsi="Arial" w:cs="Arial"/>
        </w:rPr>
        <w:t xml:space="preserve">hat </w:t>
      </w:r>
      <w:r w:rsidRPr="004B4B52">
        <w:rPr>
          <w:rFonts w:ascii="Arial" w:hAnsi="Arial" w:cs="Arial"/>
          <w:spacing w:val="1"/>
        </w:rPr>
        <w:t>r</w:t>
      </w:r>
      <w:r w:rsidRPr="004B4B52">
        <w:rPr>
          <w:rFonts w:ascii="Arial" w:hAnsi="Arial" w:cs="Arial"/>
        </w:rPr>
        <w:t>espec</w:t>
      </w:r>
      <w:r w:rsidRPr="004B4B52">
        <w:rPr>
          <w:rFonts w:ascii="Arial" w:hAnsi="Arial" w:cs="Arial"/>
          <w:spacing w:val="-1"/>
        </w:rPr>
        <w:t>t</w:t>
      </w:r>
      <w:r w:rsidRPr="004B4B52">
        <w:rPr>
          <w:rFonts w:ascii="Arial" w:hAnsi="Arial" w:cs="Arial"/>
        </w:rPr>
        <w:t>s</w:t>
      </w:r>
      <w:r w:rsidRPr="004B4B52">
        <w:rPr>
          <w:rFonts w:ascii="Arial" w:hAnsi="Arial" w:cs="Arial"/>
          <w:spacing w:val="1"/>
        </w:rPr>
        <w:t xml:space="preserve"> </w:t>
      </w:r>
      <w:r w:rsidRPr="004B4B52">
        <w:rPr>
          <w:rFonts w:ascii="Arial" w:hAnsi="Arial" w:cs="Arial"/>
        </w:rPr>
        <w:t>and</w:t>
      </w:r>
      <w:r w:rsidRPr="004B4B52">
        <w:rPr>
          <w:rFonts w:ascii="Arial" w:hAnsi="Arial" w:cs="Arial"/>
          <w:spacing w:val="-2"/>
        </w:rPr>
        <w:t xml:space="preserve"> </w:t>
      </w:r>
      <w:r w:rsidRPr="004B4B52">
        <w:rPr>
          <w:rFonts w:ascii="Arial" w:hAnsi="Arial" w:cs="Arial"/>
        </w:rPr>
        <w:t>ce</w:t>
      </w:r>
      <w:r w:rsidRPr="004B4B52">
        <w:rPr>
          <w:rFonts w:ascii="Arial" w:hAnsi="Arial" w:cs="Arial"/>
          <w:spacing w:val="-1"/>
        </w:rPr>
        <w:t>l</w:t>
      </w:r>
      <w:r w:rsidRPr="004B4B52">
        <w:rPr>
          <w:rFonts w:ascii="Arial" w:hAnsi="Arial" w:cs="Arial"/>
        </w:rPr>
        <w:t>eb</w:t>
      </w:r>
      <w:r w:rsidRPr="004B4B52">
        <w:rPr>
          <w:rFonts w:ascii="Arial" w:hAnsi="Arial" w:cs="Arial"/>
          <w:spacing w:val="1"/>
        </w:rPr>
        <w:t>r</w:t>
      </w:r>
      <w:r w:rsidRPr="004B4B52">
        <w:rPr>
          <w:rFonts w:ascii="Arial" w:hAnsi="Arial" w:cs="Arial"/>
          <w:spacing w:val="-3"/>
        </w:rPr>
        <w:t>a</w:t>
      </w:r>
      <w:r w:rsidRPr="004B4B52">
        <w:rPr>
          <w:rFonts w:ascii="Arial" w:hAnsi="Arial" w:cs="Arial"/>
          <w:spacing w:val="1"/>
        </w:rPr>
        <w:t>t</w:t>
      </w:r>
      <w:r w:rsidRPr="004B4B52">
        <w:rPr>
          <w:rFonts w:ascii="Arial" w:hAnsi="Arial" w:cs="Arial"/>
        </w:rPr>
        <w:t>es</w:t>
      </w:r>
      <w:r w:rsidRPr="004B4B52">
        <w:rPr>
          <w:rFonts w:ascii="Arial" w:hAnsi="Arial" w:cs="Arial"/>
          <w:spacing w:val="-1"/>
        </w:rPr>
        <w:t xml:space="preserve"> </w:t>
      </w:r>
      <w:r w:rsidRPr="004B4B52">
        <w:rPr>
          <w:rFonts w:ascii="Arial" w:hAnsi="Arial" w:cs="Arial"/>
          <w:spacing w:val="1"/>
        </w:rPr>
        <w:t>t</w:t>
      </w:r>
      <w:r w:rsidRPr="004B4B52">
        <w:rPr>
          <w:rFonts w:ascii="Arial" w:hAnsi="Arial" w:cs="Arial"/>
        </w:rPr>
        <w:t>he</w:t>
      </w:r>
      <w:r w:rsidRPr="004B4B52">
        <w:rPr>
          <w:rFonts w:ascii="Arial" w:hAnsi="Arial" w:cs="Arial"/>
          <w:spacing w:val="1"/>
        </w:rPr>
        <w:t xml:space="preserve"> </w:t>
      </w:r>
      <w:r w:rsidRPr="004B4B52">
        <w:rPr>
          <w:rFonts w:ascii="Arial" w:hAnsi="Arial" w:cs="Arial"/>
          <w:spacing w:val="-1"/>
        </w:rPr>
        <w:t>i</w:t>
      </w:r>
      <w:r w:rsidRPr="004B4B52">
        <w:rPr>
          <w:rFonts w:ascii="Arial" w:hAnsi="Arial" w:cs="Arial"/>
        </w:rPr>
        <w:t>n</w:t>
      </w:r>
      <w:r w:rsidRPr="004B4B52">
        <w:rPr>
          <w:rFonts w:ascii="Arial" w:hAnsi="Arial" w:cs="Arial"/>
          <w:spacing w:val="1"/>
        </w:rPr>
        <w:t>t</w:t>
      </w:r>
      <w:r w:rsidRPr="004B4B52">
        <w:rPr>
          <w:rFonts w:ascii="Arial" w:hAnsi="Arial" w:cs="Arial"/>
          <w:spacing w:val="-3"/>
        </w:rPr>
        <w:t>e</w:t>
      </w:r>
      <w:r w:rsidRPr="004B4B52">
        <w:rPr>
          <w:rFonts w:ascii="Arial" w:hAnsi="Arial" w:cs="Arial"/>
          <w:spacing w:val="1"/>
        </w:rPr>
        <w:t>r</w:t>
      </w:r>
      <w:r w:rsidRPr="004B4B52">
        <w:rPr>
          <w:rFonts w:ascii="Arial" w:hAnsi="Arial" w:cs="Arial"/>
        </w:rPr>
        <w:t>conne</w:t>
      </w:r>
      <w:r w:rsidRPr="004B4B52">
        <w:rPr>
          <w:rFonts w:ascii="Arial" w:hAnsi="Arial" w:cs="Arial"/>
          <w:spacing w:val="-2"/>
        </w:rPr>
        <w:t>c</w:t>
      </w:r>
      <w:r w:rsidRPr="004B4B52">
        <w:rPr>
          <w:rFonts w:ascii="Arial" w:hAnsi="Arial" w:cs="Arial"/>
          <w:spacing w:val="1"/>
        </w:rPr>
        <w:t>t</w:t>
      </w:r>
      <w:r w:rsidRPr="004B4B52">
        <w:rPr>
          <w:rFonts w:ascii="Arial" w:hAnsi="Arial" w:cs="Arial"/>
        </w:rPr>
        <w:t>edness</w:t>
      </w:r>
      <w:r w:rsidRPr="004B4B52">
        <w:rPr>
          <w:rFonts w:ascii="Arial" w:hAnsi="Arial" w:cs="Arial"/>
          <w:spacing w:val="-4"/>
        </w:rPr>
        <w:t xml:space="preserve"> </w:t>
      </w:r>
      <w:r w:rsidRPr="004B4B52">
        <w:rPr>
          <w:rFonts w:ascii="Arial" w:hAnsi="Arial" w:cs="Arial"/>
          <w:spacing w:val="-3"/>
        </w:rPr>
        <w:t>o</w:t>
      </w:r>
      <w:r w:rsidRPr="004B4B52">
        <w:rPr>
          <w:rFonts w:ascii="Arial" w:hAnsi="Arial" w:cs="Arial"/>
        </w:rPr>
        <w:t>f</w:t>
      </w:r>
      <w:r w:rsidRPr="004B4B52">
        <w:rPr>
          <w:rFonts w:ascii="Arial" w:hAnsi="Arial" w:cs="Arial"/>
          <w:spacing w:val="5"/>
        </w:rPr>
        <w:t xml:space="preserve"> </w:t>
      </w:r>
      <w:r w:rsidRPr="004B4B52">
        <w:rPr>
          <w:rFonts w:ascii="Arial" w:hAnsi="Arial" w:cs="Arial"/>
        </w:rPr>
        <w:t>peop</w:t>
      </w:r>
      <w:r w:rsidRPr="004B4B52">
        <w:rPr>
          <w:rFonts w:ascii="Arial" w:hAnsi="Arial" w:cs="Arial"/>
          <w:spacing w:val="-1"/>
        </w:rPr>
        <w:t>l</w:t>
      </w:r>
      <w:r w:rsidRPr="004B4B52">
        <w:rPr>
          <w:rFonts w:ascii="Arial" w:hAnsi="Arial" w:cs="Arial"/>
        </w:rPr>
        <w:t>e</w:t>
      </w:r>
      <w:r w:rsidRPr="004B4B52">
        <w:rPr>
          <w:rFonts w:ascii="Arial" w:hAnsi="Arial" w:cs="Arial"/>
          <w:spacing w:val="1"/>
        </w:rPr>
        <w:t xml:space="preserve"> </w:t>
      </w:r>
      <w:r w:rsidRPr="004B4B52">
        <w:rPr>
          <w:rFonts w:ascii="Arial" w:hAnsi="Arial" w:cs="Arial"/>
        </w:rPr>
        <w:t>and</w:t>
      </w:r>
      <w:r w:rsidRPr="004B4B52">
        <w:rPr>
          <w:rFonts w:ascii="Arial" w:hAnsi="Arial" w:cs="Arial"/>
          <w:spacing w:val="-2"/>
        </w:rPr>
        <w:t xml:space="preserve"> </w:t>
      </w:r>
      <w:r w:rsidRPr="004B4B52">
        <w:rPr>
          <w:rFonts w:ascii="Arial" w:hAnsi="Arial" w:cs="Arial"/>
          <w:spacing w:val="1"/>
        </w:rPr>
        <w:t>t</w:t>
      </w:r>
      <w:r w:rsidRPr="004B4B52">
        <w:rPr>
          <w:rFonts w:ascii="Arial" w:hAnsi="Arial" w:cs="Arial"/>
        </w:rPr>
        <w:t>he</w:t>
      </w:r>
      <w:r w:rsidRPr="004B4B52">
        <w:rPr>
          <w:rFonts w:ascii="Arial" w:hAnsi="Arial" w:cs="Arial"/>
          <w:spacing w:val="-4"/>
        </w:rPr>
        <w:t>i</w:t>
      </w:r>
      <w:r w:rsidRPr="004B4B52">
        <w:rPr>
          <w:rFonts w:ascii="Arial" w:hAnsi="Arial" w:cs="Arial"/>
        </w:rPr>
        <w:t>r</w:t>
      </w:r>
      <w:r w:rsidRPr="004B4B52">
        <w:rPr>
          <w:rFonts w:ascii="Arial" w:hAnsi="Arial" w:cs="Arial"/>
          <w:spacing w:val="2"/>
        </w:rPr>
        <w:t xml:space="preserve"> </w:t>
      </w:r>
      <w:r w:rsidRPr="004B4B52">
        <w:rPr>
          <w:rFonts w:ascii="Arial" w:hAnsi="Arial" w:cs="Arial"/>
        </w:rPr>
        <w:t>en</w:t>
      </w:r>
      <w:r w:rsidRPr="004B4B52">
        <w:rPr>
          <w:rFonts w:ascii="Arial" w:hAnsi="Arial" w:cs="Arial"/>
          <w:spacing w:val="-2"/>
        </w:rPr>
        <w:t>v</w:t>
      </w:r>
      <w:r w:rsidRPr="004B4B52">
        <w:rPr>
          <w:rFonts w:ascii="Arial" w:hAnsi="Arial" w:cs="Arial"/>
          <w:spacing w:val="-1"/>
        </w:rPr>
        <w:t>i</w:t>
      </w:r>
      <w:r w:rsidRPr="004B4B52">
        <w:rPr>
          <w:rFonts w:ascii="Arial" w:hAnsi="Arial" w:cs="Arial"/>
          <w:spacing w:val="1"/>
        </w:rPr>
        <w:t>r</w:t>
      </w:r>
      <w:r w:rsidRPr="004B4B52">
        <w:rPr>
          <w:rFonts w:ascii="Arial" w:hAnsi="Arial" w:cs="Arial"/>
        </w:rPr>
        <w:t>on</w:t>
      </w:r>
      <w:r w:rsidRPr="004B4B52">
        <w:rPr>
          <w:rFonts w:ascii="Arial" w:hAnsi="Arial" w:cs="Arial"/>
          <w:spacing w:val="1"/>
        </w:rPr>
        <w:t>m</w:t>
      </w:r>
      <w:r w:rsidRPr="004B4B52">
        <w:rPr>
          <w:rFonts w:ascii="Arial" w:hAnsi="Arial" w:cs="Arial"/>
        </w:rPr>
        <w:t>en</w:t>
      </w:r>
      <w:r w:rsidRPr="004B4B52">
        <w:rPr>
          <w:rFonts w:ascii="Arial" w:hAnsi="Arial" w:cs="Arial"/>
          <w:spacing w:val="1"/>
        </w:rPr>
        <w:t>t</w:t>
      </w:r>
      <w:r w:rsidRPr="004B4B52">
        <w:rPr>
          <w:rFonts w:ascii="Arial" w:hAnsi="Arial" w:cs="Arial"/>
          <w:spacing w:val="-2"/>
        </w:rPr>
        <w:t>s</w:t>
      </w:r>
      <w:r w:rsidRPr="004B4B52">
        <w:rPr>
          <w:rFonts w:ascii="Arial" w:hAnsi="Arial" w:cs="Arial"/>
          <w:spacing w:val="2"/>
        </w:rPr>
        <w:t xml:space="preserve"> </w:t>
      </w:r>
      <w:r w:rsidRPr="004B4B52">
        <w:rPr>
          <w:rFonts w:ascii="Arial" w:hAnsi="Arial" w:cs="Arial"/>
        </w:rPr>
        <w:t>and</w:t>
      </w:r>
      <w:r w:rsidRPr="004B4B52">
        <w:rPr>
          <w:rFonts w:ascii="Arial" w:hAnsi="Arial" w:cs="Arial"/>
          <w:spacing w:val="-2"/>
        </w:rPr>
        <w:t xml:space="preserve"> </w:t>
      </w:r>
      <w:r w:rsidRPr="004B4B52">
        <w:rPr>
          <w:rFonts w:ascii="Arial" w:hAnsi="Arial" w:cs="Arial"/>
          <w:spacing w:val="-3"/>
        </w:rPr>
        <w:t>p</w:t>
      </w:r>
      <w:r w:rsidRPr="004B4B52">
        <w:rPr>
          <w:rFonts w:ascii="Arial" w:hAnsi="Arial" w:cs="Arial"/>
          <w:spacing w:val="1"/>
        </w:rPr>
        <w:t>r</w:t>
      </w:r>
      <w:r w:rsidRPr="004B4B52">
        <w:rPr>
          <w:rFonts w:ascii="Arial" w:hAnsi="Arial" w:cs="Arial"/>
        </w:rPr>
        <w:t>epa</w:t>
      </w:r>
      <w:r w:rsidRPr="004B4B52">
        <w:rPr>
          <w:rFonts w:ascii="Arial" w:hAnsi="Arial" w:cs="Arial"/>
          <w:spacing w:val="1"/>
        </w:rPr>
        <w:t>r</w:t>
      </w:r>
      <w:r w:rsidRPr="004B4B52">
        <w:rPr>
          <w:rFonts w:ascii="Arial" w:hAnsi="Arial" w:cs="Arial"/>
        </w:rPr>
        <w:t>es</w:t>
      </w:r>
      <w:r w:rsidRPr="004B4B52">
        <w:rPr>
          <w:rFonts w:ascii="Arial" w:hAnsi="Arial" w:cs="Arial"/>
          <w:spacing w:val="-1"/>
        </w:rPr>
        <w:t xml:space="preserve"> </w:t>
      </w:r>
      <w:r w:rsidRPr="004B4B52">
        <w:rPr>
          <w:rFonts w:ascii="Arial" w:hAnsi="Arial" w:cs="Arial"/>
          <w:spacing w:val="-3"/>
        </w:rPr>
        <w:t>n</w:t>
      </w:r>
      <w:r w:rsidRPr="004B4B52">
        <w:rPr>
          <w:rFonts w:ascii="Arial" w:hAnsi="Arial" w:cs="Arial"/>
        </w:rPr>
        <w:t>u</w:t>
      </w:r>
      <w:r w:rsidRPr="004B4B52">
        <w:rPr>
          <w:rFonts w:ascii="Arial" w:hAnsi="Arial" w:cs="Arial"/>
          <w:spacing w:val="1"/>
        </w:rPr>
        <w:t>r</w:t>
      </w:r>
      <w:r w:rsidRPr="004B4B52">
        <w:rPr>
          <w:rFonts w:ascii="Arial" w:hAnsi="Arial" w:cs="Arial"/>
        </w:rPr>
        <w:t>ses</w:t>
      </w:r>
      <w:r w:rsidRPr="004B4B52">
        <w:rPr>
          <w:rFonts w:ascii="Arial" w:hAnsi="Arial" w:cs="Arial"/>
          <w:spacing w:val="-1"/>
        </w:rPr>
        <w:t xml:space="preserve"> </w:t>
      </w:r>
      <w:r w:rsidRPr="004B4B52">
        <w:rPr>
          <w:rFonts w:ascii="Arial" w:hAnsi="Arial" w:cs="Arial"/>
          <w:spacing w:val="1"/>
        </w:rPr>
        <w:t>t</w:t>
      </w:r>
      <w:r w:rsidRPr="004B4B52">
        <w:rPr>
          <w:rFonts w:ascii="Arial" w:hAnsi="Arial" w:cs="Arial"/>
        </w:rPr>
        <w:t>o de</w:t>
      </w:r>
      <w:r w:rsidRPr="004B4B52">
        <w:rPr>
          <w:rFonts w:ascii="Arial" w:hAnsi="Arial" w:cs="Arial"/>
          <w:spacing w:val="-1"/>
        </w:rPr>
        <w:t>l</w:t>
      </w:r>
      <w:r w:rsidRPr="004B4B52">
        <w:rPr>
          <w:rFonts w:ascii="Arial" w:hAnsi="Arial" w:cs="Arial"/>
          <w:spacing w:val="1"/>
        </w:rPr>
        <w:t>i</w:t>
      </w:r>
      <w:r w:rsidRPr="004B4B52">
        <w:rPr>
          <w:rFonts w:ascii="Arial" w:hAnsi="Arial" w:cs="Arial"/>
          <w:spacing w:val="-2"/>
        </w:rPr>
        <w:t>v</w:t>
      </w:r>
      <w:r w:rsidRPr="004B4B52">
        <w:rPr>
          <w:rFonts w:ascii="Arial" w:hAnsi="Arial" w:cs="Arial"/>
        </w:rPr>
        <w:t>er</w:t>
      </w:r>
      <w:r w:rsidRPr="004B4B52">
        <w:rPr>
          <w:rFonts w:ascii="Arial" w:hAnsi="Arial" w:cs="Arial"/>
          <w:spacing w:val="2"/>
        </w:rPr>
        <w:t xml:space="preserve"> </w:t>
      </w:r>
      <w:r w:rsidRPr="004B4B52">
        <w:rPr>
          <w:rFonts w:ascii="Arial" w:hAnsi="Arial" w:cs="Arial"/>
        </w:rPr>
        <w:t>e</w:t>
      </w:r>
      <w:r w:rsidRPr="004B4B52">
        <w:rPr>
          <w:rFonts w:ascii="Arial" w:hAnsi="Arial" w:cs="Arial"/>
          <w:spacing w:val="-2"/>
        </w:rPr>
        <w:t>x</w:t>
      </w:r>
      <w:r w:rsidRPr="004B4B52">
        <w:rPr>
          <w:rFonts w:ascii="Arial" w:hAnsi="Arial" w:cs="Arial"/>
        </w:rPr>
        <w:t>e</w:t>
      </w:r>
      <w:r w:rsidRPr="004B4B52">
        <w:rPr>
          <w:rFonts w:ascii="Arial" w:hAnsi="Arial" w:cs="Arial"/>
          <w:spacing w:val="1"/>
        </w:rPr>
        <w:t>m</w:t>
      </w:r>
      <w:r w:rsidRPr="004B4B52">
        <w:rPr>
          <w:rFonts w:ascii="Arial" w:hAnsi="Arial" w:cs="Arial"/>
        </w:rPr>
        <w:t>p</w:t>
      </w:r>
      <w:r w:rsidRPr="004B4B52">
        <w:rPr>
          <w:rFonts w:ascii="Arial" w:hAnsi="Arial" w:cs="Arial"/>
          <w:spacing w:val="-1"/>
        </w:rPr>
        <w:t>l</w:t>
      </w:r>
      <w:r w:rsidRPr="004B4B52">
        <w:rPr>
          <w:rFonts w:ascii="Arial" w:hAnsi="Arial" w:cs="Arial"/>
        </w:rPr>
        <w:t>a</w:t>
      </w:r>
      <w:r w:rsidRPr="004B4B52">
        <w:rPr>
          <w:rFonts w:ascii="Arial" w:hAnsi="Arial" w:cs="Arial"/>
          <w:spacing w:val="1"/>
        </w:rPr>
        <w:t>r</w:t>
      </w:r>
      <w:r w:rsidRPr="004B4B52">
        <w:rPr>
          <w:rFonts w:ascii="Arial" w:hAnsi="Arial" w:cs="Arial"/>
        </w:rPr>
        <w:t>y</w:t>
      </w:r>
      <w:r w:rsidRPr="004B4B52">
        <w:rPr>
          <w:rFonts w:ascii="Arial" w:hAnsi="Arial" w:cs="Arial"/>
          <w:spacing w:val="-1"/>
        </w:rPr>
        <w:t xml:space="preserve"> interprofessional </w:t>
      </w:r>
      <w:r w:rsidRPr="004B4B52">
        <w:rPr>
          <w:rFonts w:ascii="Arial" w:hAnsi="Arial" w:cs="Arial"/>
        </w:rPr>
        <w:t>hea</w:t>
      </w:r>
      <w:r w:rsidRPr="004B4B52">
        <w:rPr>
          <w:rFonts w:ascii="Arial" w:hAnsi="Arial" w:cs="Arial"/>
          <w:spacing w:val="-1"/>
        </w:rPr>
        <w:t>l</w:t>
      </w:r>
      <w:r w:rsidRPr="004B4B52">
        <w:rPr>
          <w:rFonts w:ascii="Arial" w:hAnsi="Arial" w:cs="Arial"/>
          <w:spacing w:val="1"/>
        </w:rPr>
        <w:t>t</w:t>
      </w:r>
      <w:r w:rsidRPr="004B4B52">
        <w:rPr>
          <w:rFonts w:ascii="Arial" w:hAnsi="Arial" w:cs="Arial"/>
        </w:rPr>
        <w:t>h</w:t>
      </w:r>
      <w:r w:rsidRPr="004B4B52">
        <w:rPr>
          <w:rFonts w:ascii="Arial" w:hAnsi="Arial" w:cs="Arial"/>
          <w:spacing w:val="-2"/>
        </w:rPr>
        <w:t xml:space="preserve"> </w:t>
      </w:r>
      <w:r w:rsidRPr="004B4B52">
        <w:rPr>
          <w:rFonts w:ascii="Arial" w:hAnsi="Arial" w:cs="Arial"/>
        </w:rPr>
        <w:t>ca</w:t>
      </w:r>
      <w:r w:rsidRPr="004B4B52">
        <w:rPr>
          <w:rFonts w:ascii="Arial" w:hAnsi="Arial" w:cs="Arial"/>
          <w:spacing w:val="1"/>
        </w:rPr>
        <w:t>r</w:t>
      </w:r>
      <w:r w:rsidRPr="004B4B52">
        <w:rPr>
          <w:rFonts w:ascii="Arial" w:hAnsi="Arial" w:cs="Arial"/>
        </w:rPr>
        <w:t>e</w:t>
      </w:r>
      <w:r w:rsidRPr="004B4B52">
        <w:rPr>
          <w:rFonts w:ascii="Arial" w:hAnsi="Arial" w:cs="Arial"/>
          <w:spacing w:val="1"/>
        </w:rPr>
        <w:t xml:space="preserve"> </w:t>
      </w:r>
      <w:r w:rsidRPr="004B4B52">
        <w:rPr>
          <w:rFonts w:ascii="Arial" w:hAnsi="Arial" w:cs="Arial"/>
          <w:spacing w:val="-1"/>
        </w:rPr>
        <w:t>i</w:t>
      </w:r>
      <w:r w:rsidRPr="004B4B52">
        <w:rPr>
          <w:rFonts w:ascii="Arial" w:hAnsi="Arial" w:cs="Arial"/>
        </w:rPr>
        <w:t>n</w:t>
      </w:r>
      <w:r w:rsidRPr="004B4B52">
        <w:rPr>
          <w:rFonts w:ascii="Arial" w:hAnsi="Arial" w:cs="Arial"/>
          <w:spacing w:val="1"/>
        </w:rPr>
        <w:t xml:space="preserve"> </w:t>
      </w:r>
      <w:r w:rsidRPr="004B4B52">
        <w:rPr>
          <w:rFonts w:ascii="Arial" w:hAnsi="Arial" w:cs="Arial"/>
        </w:rPr>
        <w:t>a</w:t>
      </w:r>
      <w:r w:rsidRPr="004B4B52">
        <w:rPr>
          <w:rFonts w:ascii="Arial" w:hAnsi="Arial" w:cs="Arial"/>
          <w:spacing w:val="-4"/>
        </w:rPr>
        <w:t xml:space="preserve"> </w:t>
      </w:r>
      <w:r w:rsidRPr="004B4B52">
        <w:rPr>
          <w:rFonts w:ascii="Arial" w:hAnsi="Arial" w:cs="Arial"/>
          <w:spacing w:val="1"/>
        </w:rPr>
        <w:t>m</w:t>
      </w:r>
      <w:r w:rsidRPr="004B4B52">
        <w:rPr>
          <w:rFonts w:ascii="Arial" w:hAnsi="Arial" w:cs="Arial"/>
        </w:rPr>
        <w:t>u</w:t>
      </w:r>
      <w:r w:rsidRPr="004B4B52">
        <w:rPr>
          <w:rFonts w:ascii="Arial" w:hAnsi="Arial" w:cs="Arial"/>
          <w:spacing w:val="-1"/>
        </w:rPr>
        <w:t>l</w:t>
      </w:r>
      <w:r w:rsidRPr="004B4B52">
        <w:rPr>
          <w:rFonts w:ascii="Arial" w:hAnsi="Arial" w:cs="Arial"/>
          <w:spacing w:val="1"/>
        </w:rPr>
        <w:t>t</w:t>
      </w:r>
      <w:r w:rsidRPr="004B4B52">
        <w:rPr>
          <w:rFonts w:ascii="Arial" w:hAnsi="Arial" w:cs="Arial"/>
        </w:rPr>
        <w:t>i</w:t>
      </w:r>
      <w:r w:rsidRPr="004B4B52">
        <w:rPr>
          <w:rFonts w:ascii="Arial" w:hAnsi="Arial" w:cs="Arial"/>
          <w:spacing w:val="1"/>
        </w:rPr>
        <w:t>-</w:t>
      </w:r>
      <w:r w:rsidRPr="004B4B52">
        <w:rPr>
          <w:rFonts w:ascii="Arial" w:hAnsi="Arial" w:cs="Arial"/>
        </w:rPr>
        <w:t>cu</w:t>
      </w:r>
      <w:r w:rsidRPr="004B4B52">
        <w:rPr>
          <w:rFonts w:ascii="Arial" w:hAnsi="Arial" w:cs="Arial"/>
          <w:spacing w:val="-1"/>
        </w:rPr>
        <w:t>l</w:t>
      </w:r>
      <w:r w:rsidRPr="004B4B52">
        <w:rPr>
          <w:rFonts w:ascii="Arial" w:hAnsi="Arial" w:cs="Arial"/>
          <w:spacing w:val="1"/>
        </w:rPr>
        <w:t>t</w:t>
      </w:r>
      <w:r w:rsidRPr="004B4B52">
        <w:rPr>
          <w:rFonts w:ascii="Arial" w:hAnsi="Arial" w:cs="Arial"/>
          <w:spacing w:val="-3"/>
        </w:rPr>
        <w:t>u</w:t>
      </w:r>
      <w:r w:rsidRPr="004B4B52">
        <w:rPr>
          <w:rFonts w:ascii="Arial" w:hAnsi="Arial" w:cs="Arial"/>
          <w:spacing w:val="1"/>
        </w:rPr>
        <w:t>r</w:t>
      </w:r>
      <w:r w:rsidRPr="004B4B52">
        <w:rPr>
          <w:rFonts w:ascii="Arial" w:hAnsi="Arial" w:cs="Arial"/>
        </w:rPr>
        <w:t>al s</w:t>
      </w:r>
      <w:r w:rsidRPr="004B4B52">
        <w:rPr>
          <w:rFonts w:ascii="Arial" w:hAnsi="Arial" w:cs="Arial"/>
          <w:spacing w:val="-3"/>
        </w:rPr>
        <w:t>o</w:t>
      </w:r>
      <w:r w:rsidRPr="004B4B52">
        <w:rPr>
          <w:rFonts w:ascii="Arial" w:hAnsi="Arial" w:cs="Arial"/>
        </w:rPr>
        <w:t>c</w:t>
      </w:r>
      <w:r w:rsidRPr="004B4B52">
        <w:rPr>
          <w:rFonts w:ascii="Arial" w:hAnsi="Arial" w:cs="Arial"/>
          <w:spacing w:val="-1"/>
        </w:rPr>
        <w:t>i</w:t>
      </w:r>
      <w:r w:rsidRPr="004B4B52">
        <w:rPr>
          <w:rFonts w:ascii="Arial" w:hAnsi="Arial" w:cs="Arial"/>
        </w:rPr>
        <w:t>e</w:t>
      </w:r>
      <w:r w:rsidRPr="004B4B52">
        <w:rPr>
          <w:rFonts w:ascii="Arial" w:hAnsi="Arial" w:cs="Arial"/>
          <w:spacing w:val="1"/>
        </w:rPr>
        <w:t>t</w:t>
      </w:r>
      <w:r w:rsidRPr="004B4B52">
        <w:rPr>
          <w:rFonts w:ascii="Arial" w:hAnsi="Arial" w:cs="Arial"/>
          <w:spacing w:val="-2"/>
        </w:rPr>
        <w:t>y</w:t>
      </w:r>
      <w:r w:rsidRPr="004B4B52">
        <w:rPr>
          <w:rFonts w:ascii="Arial" w:hAnsi="Arial" w:cs="Arial"/>
        </w:rPr>
        <w:t>,</w:t>
      </w:r>
      <w:r w:rsidRPr="004B4B52">
        <w:rPr>
          <w:rFonts w:ascii="Arial" w:hAnsi="Arial" w:cs="Arial"/>
          <w:spacing w:val="2"/>
        </w:rPr>
        <w:t xml:space="preserve"> </w:t>
      </w:r>
      <w:r w:rsidRPr="004B4B52">
        <w:rPr>
          <w:rFonts w:ascii="Arial" w:hAnsi="Arial" w:cs="Arial"/>
          <w:spacing w:val="-1"/>
        </w:rPr>
        <w:t>i</w:t>
      </w:r>
      <w:r w:rsidRPr="004B4B52">
        <w:rPr>
          <w:rFonts w:ascii="Arial" w:hAnsi="Arial" w:cs="Arial"/>
        </w:rPr>
        <w:t>nc</w:t>
      </w:r>
      <w:r w:rsidRPr="004B4B52">
        <w:rPr>
          <w:rFonts w:ascii="Arial" w:hAnsi="Arial" w:cs="Arial"/>
          <w:spacing w:val="-1"/>
        </w:rPr>
        <w:t>l</w:t>
      </w:r>
      <w:r w:rsidRPr="004B4B52">
        <w:rPr>
          <w:rFonts w:ascii="Arial" w:hAnsi="Arial" w:cs="Arial"/>
        </w:rPr>
        <w:t>ud</w:t>
      </w:r>
      <w:r w:rsidRPr="004B4B52">
        <w:rPr>
          <w:rFonts w:ascii="Arial" w:hAnsi="Arial" w:cs="Arial"/>
          <w:spacing w:val="-1"/>
        </w:rPr>
        <w:t>i</w:t>
      </w:r>
      <w:r w:rsidRPr="004B4B52">
        <w:rPr>
          <w:rFonts w:ascii="Arial" w:hAnsi="Arial" w:cs="Arial"/>
        </w:rPr>
        <w:t>ng</w:t>
      </w:r>
      <w:r w:rsidRPr="004B4B52">
        <w:rPr>
          <w:rFonts w:ascii="Arial" w:hAnsi="Arial" w:cs="Arial"/>
          <w:spacing w:val="3"/>
        </w:rPr>
        <w:t xml:space="preserve"> </w:t>
      </w:r>
      <w:r w:rsidRPr="004B4B52">
        <w:rPr>
          <w:rFonts w:ascii="Arial" w:hAnsi="Arial" w:cs="Arial"/>
          <w:spacing w:val="-3"/>
        </w:rPr>
        <w:t>u</w:t>
      </w:r>
      <w:r w:rsidRPr="004B4B52">
        <w:rPr>
          <w:rFonts w:ascii="Arial" w:hAnsi="Arial" w:cs="Arial"/>
          <w:spacing w:val="1"/>
        </w:rPr>
        <w:t>r</w:t>
      </w:r>
      <w:r w:rsidRPr="004B4B52">
        <w:rPr>
          <w:rFonts w:ascii="Arial" w:hAnsi="Arial" w:cs="Arial"/>
        </w:rPr>
        <w:t>ban</w:t>
      </w:r>
      <w:r w:rsidRPr="004B4B52">
        <w:rPr>
          <w:rFonts w:ascii="Arial" w:hAnsi="Arial" w:cs="Arial"/>
          <w:spacing w:val="1"/>
        </w:rPr>
        <w:t xml:space="preserve"> </w:t>
      </w:r>
      <w:r w:rsidRPr="004B4B52">
        <w:rPr>
          <w:rFonts w:ascii="Arial" w:hAnsi="Arial" w:cs="Arial"/>
        </w:rPr>
        <w:t>a</w:t>
      </w:r>
      <w:r w:rsidRPr="004B4B52">
        <w:rPr>
          <w:rFonts w:ascii="Arial" w:hAnsi="Arial" w:cs="Arial"/>
          <w:spacing w:val="-3"/>
        </w:rPr>
        <w:t>n</w:t>
      </w:r>
      <w:r w:rsidRPr="004B4B52">
        <w:rPr>
          <w:rFonts w:ascii="Arial" w:hAnsi="Arial" w:cs="Arial"/>
        </w:rPr>
        <w:t>d</w:t>
      </w:r>
      <w:r w:rsidRPr="004B4B52">
        <w:rPr>
          <w:rFonts w:ascii="Arial" w:hAnsi="Arial" w:cs="Arial"/>
          <w:spacing w:val="1"/>
        </w:rPr>
        <w:t xml:space="preserve"> r</w:t>
      </w:r>
      <w:r w:rsidRPr="004B4B52">
        <w:rPr>
          <w:rFonts w:ascii="Arial" w:hAnsi="Arial" w:cs="Arial"/>
          <w:spacing w:val="-3"/>
        </w:rPr>
        <w:t>u</w:t>
      </w:r>
      <w:r w:rsidRPr="004B4B52">
        <w:rPr>
          <w:rFonts w:ascii="Arial" w:hAnsi="Arial" w:cs="Arial"/>
          <w:spacing w:val="1"/>
        </w:rPr>
        <w:t>r</w:t>
      </w:r>
      <w:r w:rsidRPr="004B4B52">
        <w:rPr>
          <w:rFonts w:ascii="Arial" w:hAnsi="Arial" w:cs="Arial"/>
        </w:rPr>
        <w:t>al under</w:t>
      </w:r>
      <w:r w:rsidRPr="004B4B52">
        <w:rPr>
          <w:rFonts w:ascii="Arial" w:hAnsi="Arial" w:cs="Arial"/>
          <w:spacing w:val="1"/>
        </w:rPr>
        <w:t>-</w:t>
      </w:r>
      <w:r w:rsidRPr="004B4B52">
        <w:rPr>
          <w:rFonts w:ascii="Arial" w:hAnsi="Arial" w:cs="Arial"/>
        </w:rPr>
        <w:t>se</w:t>
      </w:r>
      <w:r w:rsidRPr="004B4B52">
        <w:rPr>
          <w:rFonts w:ascii="Arial" w:hAnsi="Arial" w:cs="Arial"/>
          <w:spacing w:val="1"/>
        </w:rPr>
        <w:t>r</w:t>
      </w:r>
      <w:r w:rsidRPr="004B4B52">
        <w:rPr>
          <w:rFonts w:ascii="Arial" w:hAnsi="Arial" w:cs="Arial"/>
          <w:spacing w:val="-2"/>
        </w:rPr>
        <w:t>v</w:t>
      </w:r>
      <w:r w:rsidRPr="004B4B52">
        <w:rPr>
          <w:rFonts w:ascii="Arial" w:hAnsi="Arial" w:cs="Arial"/>
        </w:rPr>
        <w:t>ed</w:t>
      </w:r>
      <w:r w:rsidRPr="004B4B52">
        <w:rPr>
          <w:rFonts w:ascii="Arial" w:hAnsi="Arial" w:cs="Arial"/>
          <w:spacing w:val="1"/>
        </w:rPr>
        <w:t xml:space="preserve"> </w:t>
      </w:r>
      <w:r w:rsidRPr="004B4B52">
        <w:rPr>
          <w:rFonts w:ascii="Arial" w:hAnsi="Arial" w:cs="Arial"/>
          <w:spacing w:val="-3"/>
        </w:rPr>
        <w:t>a</w:t>
      </w:r>
      <w:r w:rsidRPr="004B4B52">
        <w:rPr>
          <w:rFonts w:ascii="Arial" w:hAnsi="Arial" w:cs="Arial"/>
          <w:spacing w:val="1"/>
        </w:rPr>
        <w:t>r</w:t>
      </w:r>
      <w:r w:rsidRPr="004B4B52">
        <w:rPr>
          <w:rFonts w:ascii="Arial" w:hAnsi="Arial" w:cs="Arial"/>
          <w:spacing w:val="-3"/>
        </w:rPr>
        <w:t>e</w:t>
      </w:r>
      <w:r w:rsidRPr="004B4B52">
        <w:rPr>
          <w:rFonts w:ascii="Arial" w:hAnsi="Arial" w:cs="Arial"/>
        </w:rPr>
        <w:t xml:space="preserve">as. </w:t>
      </w:r>
      <w:r w:rsidRPr="004B4B52">
        <w:rPr>
          <w:rFonts w:ascii="Arial" w:hAnsi="Arial" w:cs="Arial"/>
          <w:spacing w:val="1"/>
        </w:rPr>
        <w:t xml:space="preserve">The </w:t>
      </w:r>
      <w:r w:rsidRPr="007B6BF0">
        <w:rPr>
          <w:rFonts w:ascii="Arial" w:hAnsi="Arial" w:cs="Arial"/>
          <w:spacing w:val="-3"/>
        </w:rPr>
        <w:t>C</w:t>
      </w:r>
      <w:r w:rsidRPr="007B6BF0">
        <w:rPr>
          <w:rFonts w:ascii="Arial" w:hAnsi="Arial" w:cs="Arial"/>
        </w:rPr>
        <w:t>o</w:t>
      </w:r>
      <w:r w:rsidRPr="007B6BF0">
        <w:rPr>
          <w:rFonts w:ascii="Arial" w:hAnsi="Arial" w:cs="Arial"/>
          <w:spacing w:val="-1"/>
        </w:rPr>
        <w:t>ll</w:t>
      </w:r>
      <w:r w:rsidRPr="007B6BF0">
        <w:rPr>
          <w:rFonts w:ascii="Arial" w:hAnsi="Arial" w:cs="Arial"/>
        </w:rPr>
        <w:t>e</w:t>
      </w:r>
      <w:r w:rsidRPr="007B6BF0">
        <w:rPr>
          <w:rFonts w:ascii="Arial" w:hAnsi="Arial" w:cs="Arial"/>
          <w:spacing w:val="2"/>
        </w:rPr>
        <w:t>g</w:t>
      </w:r>
      <w:r w:rsidRPr="007B6BF0">
        <w:rPr>
          <w:rFonts w:ascii="Arial" w:hAnsi="Arial" w:cs="Arial"/>
        </w:rPr>
        <w:t>e</w:t>
      </w:r>
      <w:r w:rsidRPr="007B6BF0">
        <w:rPr>
          <w:rFonts w:ascii="Arial" w:hAnsi="Arial" w:cs="Arial"/>
          <w:spacing w:val="1"/>
        </w:rPr>
        <w:t xml:space="preserve"> </w:t>
      </w:r>
      <w:r w:rsidRPr="007B6BF0">
        <w:rPr>
          <w:rFonts w:ascii="Arial" w:hAnsi="Arial" w:cs="Arial"/>
          <w:spacing w:val="-3"/>
        </w:rPr>
        <w:t>o</w:t>
      </w:r>
      <w:r w:rsidRPr="007B6BF0">
        <w:rPr>
          <w:rFonts w:ascii="Arial" w:hAnsi="Arial" w:cs="Arial"/>
        </w:rPr>
        <w:t>f</w:t>
      </w:r>
      <w:r w:rsidRPr="007B6BF0">
        <w:rPr>
          <w:rFonts w:ascii="Arial" w:hAnsi="Arial" w:cs="Arial"/>
          <w:spacing w:val="2"/>
        </w:rPr>
        <w:t xml:space="preserve"> </w:t>
      </w:r>
      <w:r w:rsidRPr="007B6BF0">
        <w:rPr>
          <w:rFonts w:ascii="Arial" w:hAnsi="Arial" w:cs="Arial"/>
          <w:spacing w:val="-1"/>
        </w:rPr>
        <w:t>N</w:t>
      </w:r>
      <w:r w:rsidRPr="007B6BF0">
        <w:rPr>
          <w:rFonts w:ascii="Arial" w:hAnsi="Arial" w:cs="Arial"/>
        </w:rPr>
        <w:t>u</w:t>
      </w:r>
      <w:r w:rsidRPr="007B6BF0">
        <w:rPr>
          <w:rFonts w:ascii="Arial" w:hAnsi="Arial" w:cs="Arial"/>
          <w:spacing w:val="1"/>
        </w:rPr>
        <w:t>r</w:t>
      </w:r>
      <w:r w:rsidRPr="007B6BF0">
        <w:rPr>
          <w:rFonts w:ascii="Arial" w:hAnsi="Arial" w:cs="Arial"/>
        </w:rPr>
        <w:t>s</w:t>
      </w:r>
      <w:r w:rsidRPr="007B6BF0">
        <w:rPr>
          <w:rFonts w:ascii="Arial" w:hAnsi="Arial" w:cs="Arial"/>
          <w:spacing w:val="-1"/>
        </w:rPr>
        <w:t>i</w:t>
      </w:r>
      <w:r w:rsidRPr="007B6BF0">
        <w:rPr>
          <w:rFonts w:ascii="Arial" w:hAnsi="Arial" w:cs="Arial"/>
          <w:spacing w:val="-3"/>
        </w:rPr>
        <w:t>n</w:t>
      </w:r>
      <w:r w:rsidRPr="007B6BF0">
        <w:rPr>
          <w:rFonts w:ascii="Arial" w:hAnsi="Arial" w:cs="Arial"/>
        </w:rPr>
        <w:t>g</w:t>
      </w:r>
      <w:r w:rsidRPr="007B6BF0">
        <w:rPr>
          <w:rFonts w:ascii="Arial" w:hAnsi="Arial" w:cs="Arial"/>
          <w:spacing w:val="1"/>
        </w:rPr>
        <w:t xml:space="preserve"> </w:t>
      </w:r>
      <w:r w:rsidRPr="007B6BF0">
        <w:rPr>
          <w:rFonts w:ascii="Arial" w:hAnsi="Arial" w:cs="Arial"/>
        </w:rPr>
        <w:t xml:space="preserve">research focus areas include healthy aging across the lifespan, health equity, holistic health, and transforming healthcare environments. </w:t>
      </w:r>
      <w:r w:rsidRPr="002C3DFA">
        <w:rPr>
          <w:rFonts w:ascii="Arial" w:hAnsi="Arial" w:cs="Arial"/>
        </w:rPr>
        <w:t xml:space="preserve">A cluster of researchers in the College focus on </w:t>
      </w:r>
      <w:r w:rsidRPr="002732AC">
        <w:rPr>
          <w:rFonts w:ascii="Arial" w:hAnsi="Arial" w:cs="Arial"/>
          <w:bCs/>
        </w:rPr>
        <w:t>healthy aging across the lifespan,</w:t>
      </w:r>
      <w:r w:rsidRPr="002C3DFA">
        <w:rPr>
          <w:rFonts w:ascii="Arial" w:hAnsi="Arial" w:cs="Arial"/>
        </w:rPr>
        <w:t xml:space="preserve"> examining conditions such as Alzheimer’s Disease, heart failure, and other aging/lifespan health concerns. These research efforts have capitalized on several unique features of FAU’s environment, such as the high number of older adults living in the local geographic area</w:t>
      </w:r>
      <w:r>
        <w:rPr>
          <w:rFonts w:ascii="Arial" w:hAnsi="Arial" w:cs="Arial"/>
        </w:rPr>
        <w:t>,</w:t>
      </w:r>
      <w:r w:rsidRPr="002C3DFA">
        <w:rPr>
          <w:rFonts w:ascii="Arial" w:hAnsi="Arial" w:cs="Arial"/>
        </w:rPr>
        <w:t xml:space="preserve"> the college’s affiliation with the Louis and Anne Greene Memory and Wellness Center (MWC), situated on FAU’s Boca Raton campus</w:t>
      </w:r>
      <w:r>
        <w:rPr>
          <w:rFonts w:ascii="Arial" w:hAnsi="Arial" w:cs="Arial"/>
        </w:rPr>
        <w:t>,</w:t>
      </w:r>
      <w:r w:rsidRPr="002C3DFA">
        <w:rPr>
          <w:rFonts w:ascii="Arial" w:hAnsi="Arial" w:cs="Arial"/>
        </w:rPr>
        <w:t xml:space="preserve"> and representation in two of the four university-wide pillars (I-HEALTH and I-BRAIN).</w:t>
      </w:r>
    </w:p>
    <w:p w14:paraId="13C12516" w14:textId="721F7877" w:rsidR="000B7A83" w:rsidRDefault="000B7A83" w:rsidP="000B7A83">
      <w:pPr>
        <w:ind w:firstLine="360"/>
        <w:jc w:val="both"/>
        <w:rPr>
          <w:rFonts w:ascii="Arial" w:hAnsi="Arial" w:cs="Arial"/>
        </w:rPr>
      </w:pPr>
      <w:r w:rsidRPr="002333AF">
        <w:rPr>
          <w:rFonts w:ascii="Arial" w:hAnsi="Arial" w:cs="Arial"/>
        </w:rPr>
        <w:t xml:space="preserve">Nursing investigators also pursue </w:t>
      </w:r>
      <w:r w:rsidRPr="002732AC">
        <w:rPr>
          <w:rFonts w:ascii="Arial" w:hAnsi="Arial" w:cs="Arial"/>
          <w:bCs/>
        </w:rPr>
        <w:t>health promotion and disease prevention</w:t>
      </w:r>
      <w:r w:rsidRPr="002333AF">
        <w:rPr>
          <w:rFonts w:ascii="Arial" w:hAnsi="Arial" w:cs="Arial"/>
        </w:rPr>
        <w:t xml:space="preserve"> through research that aims to improve nutritional practices, reduce risky behaviors to prevent HIV, and increase genetic testing for breast cancer. </w:t>
      </w:r>
      <w:r>
        <w:rPr>
          <w:rFonts w:ascii="Arial" w:hAnsi="Arial" w:cs="Arial"/>
        </w:rPr>
        <w:t>F</w:t>
      </w:r>
      <w:r w:rsidRPr="002333AF">
        <w:rPr>
          <w:rFonts w:ascii="Arial" w:hAnsi="Arial" w:cs="Arial"/>
        </w:rPr>
        <w:t xml:space="preserve">urthermore, FAU’s location, in diverse </w:t>
      </w:r>
      <w:r>
        <w:rPr>
          <w:rFonts w:ascii="Arial" w:hAnsi="Arial" w:cs="Arial"/>
        </w:rPr>
        <w:t>Southeast</w:t>
      </w:r>
      <w:r w:rsidRPr="002333AF">
        <w:rPr>
          <w:rFonts w:ascii="Arial" w:hAnsi="Arial" w:cs="Arial"/>
        </w:rPr>
        <w:t xml:space="preserve"> Florida and in close proximity to the Caribbean and South/Central America, has enabled FAU nursing researchers to access </w:t>
      </w:r>
      <w:r w:rsidRPr="002732AC">
        <w:rPr>
          <w:rFonts w:ascii="Arial" w:hAnsi="Arial" w:cs="Arial"/>
          <w:bCs/>
        </w:rPr>
        <w:t>multicultural populations</w:t>
      </w:r>
      <w:r w:rsidRPr="002333AF">
        <w:rPr>
          <w:rFonts w:ascii="Arial" w:hAnsi="Arial" w:cs="Arial"/>
        </w:rPr>
        <w:t xml:space="preserve"> and work to address health disparities among underserved populations, such as immigrant Afro-Caribbean communities </w:t>
      </w:r>
      <w:r>
        <w:rPr>
          <w:rFonts w:ascii="Arial" w:hAnsi="Arial" w:cs="Arial"/>
        </w:rPr>
        <w:t xml:space="preserve">and </w:t>
      </w:r>
      <w:r w:rsidRPr="002333AF">
        <w:rPr>
          <w:rFonts w:ascii="Arial" w:hAnsi="Arial" w:cs="Arial"/>
        </w:rPr>
        <w:t>African</w:t>
      </w:r>
      <w:r>
        <w:rPr>
          <w:rFonts w:ascii="Arial" w:hAnsi="Arial" w:cs="Arial"/>
        </w:rPr>
        <w:t xml:space="preserve"> </w:t>
      </w:r>
      <w:r w:rsidRPr="002333AF">
        <w:rPr>
          <w:rFonts w:ascii="Arial" w:hAnsi="Arial" w:cs="Arial"/>
        </w:rPr>
        <w:t>American and Latino women.</w:t>
      </w:r>
    </w:p>
    <w:p w14:paraId="070A0E66" w14:textId="78BC49A9" w:rsidR="000B7A83" w:rsidRDefault="000B7A83" w:rsidP="000B7A83">
      <w:pPr>
        <w:ind w:firstLine="360"/>
        <w:jc w:val="both"/>
        <w:rPr>
          <w:rFonts w:ascii="Arial" w:hAnsi="Arial" w:cs="Arial"/>
        </w:rPr>
      </w:pPr>
      <w:r w:rsidRPr="002333AF">
        <w:rPr>
          <w:rFonts w:ascii="Arial" w:hAnsi="Arial" w:cs="Arial"/>
          <w:spacing w:val="-1"/>
        </w:rPr>
        <w:t xml:space="preserve">The </w:t>
      </w:r>
      <w:r w:rsidRPr="002333AF">
        <w:rPr>
          <w:rFonts w:ascii="Arial" w:hAnsi="Arial" w:cs="Arial"/>
          <w:bCs/>
        </w:rPr>
        <w:t>Office of Nursing Research and Scholarship</w:t>
      </w:r>
      <w:r w:rsidRPr="002333AF">
        <w:rPr>
          <w:rFonts w:ascii="Arial" w:hAnsi="Arial" w:cs="Arial"/>
          <w:b/>
        </w:rPr>
        <w:t xml:space="preserve"> </w:t>
      </w:r>
      <w:r w:rsidRPr="002732AC">
        <w:rPr>
          <w:rFonts w:ascii="Arial" w:hAnsi="Arial" w:cs="Arial"/>
          <w:bCs/>
        </w:rPr>
        <w:t>(ONRS)</w:t>
      </w:r>
      <w:r w:rsidRPr="002333AF">
        <w:rPr>
          <w:rFonts w:ascii="Arial" w:hAnsi="Arial" w:cs="Arial"/>
          <w:spacing w:val="-1"/>
        </w:rPr>
        <w:t xml:space="preserve"> employs a tenure-track </w:t>
      </w:r>
      <w:r w:rsidRPr="002732AC">
        <w:rPr>
          <w:rFonts w:ascii="Arial" w:hAnsi="Arial" w:cs="Arial"/>
          <w:bCs/>
          <w:spacing w:val="-1"/>
        </w:rPr>
        <w:t>biostatistician</w:t>
      </w:r>
      <w:r w:rsidRPr="002333AF">
        <w:rPr>
          <w:rFonts w:ascii="Arial" w:hAnsi="Arial" w:cs="Arial"/>
          <w:spacing w:val="-1"/>
        </w:rPr>
        <w:t xml:space="preserve"> who assists nursing researchers with methodological design, statistical analysis, and </w:t>
      </w:r>
      <w:r w:rsidRPr="002333AF">
        <w:rPr>
          <w:rFonts w:ascii="Arial" w:hAnsi="Arial" w:cs="Arial"/>
        </w:rPr>
        <w:t>management and merging of large data from multiple databases. The ONRS statistician has an active role in grant submissions and his work is complemented by statisticians from the College of Education and Business as well as those from the university-wide Biostatistical Core</w:t>
      </w:r>
      <w:r>
        <w:rPr>
          <w:rFonts w:ascii="Arial" w:hAnsi="Arial" w:cs="Arial"/>
        </w:rPr>
        <w:t xml:space="preserve"> (see below)</w:t>
      </w:r>
      <w:r w:rsidRPr="002333AF">
        <w:rPr>
          <w:rFonts w:ascii="Arial" w:hAnsi="Arial" w:cs="Arial"/>
        </w:rPr>
        <w:t>.</w:t>
      </w:r>
    </w:p>
    <w:p w14:paraId="27D70498" w14:textId="77777777" w:rsidR="000B7A83" w:rsidRPr="0044526C" w:rsidRDefault="000B7A83" w:rsidP="000B7A83">
      <w:pPr>
        <w:ind w:firstLine="360"/>
        <w:jc w:val="both"/>
        <w:rPr>
          <w:rFonts w:ascii="Arial" w:hAnsi="Arial" w:cs="Arial"/>
        </w:rPr>
      </w:pPr>
      <w:r w:rsidRPr="0044526C">
        <w:rPr>
          <w:rFonts w:ascii="Arial" w:hAnsi="Arial" w:cs="Arial"/>
        </w:rPr>
        <w:t xml:space="preserve">The </w:t>
      </w:r>
      <w:r w:rsidRPr="00991F47">
        <w:rPr>
          <w:rFonts w:ascii="Arial" w:hAnsi="Arial" w:cs="Arial"/>
          <w:b/>
          <w:bCs/>
          <w:i/>
          <w:iCs/>
        </w:rPr>
        <w:t>College of Engineering &amp; Computer Science</w:t>
      </w:r>
      <w:r w:rsidRPr="0044526C">
        <w:rPr>
          <w:rFonts w:ascii="Arial" w:hAnsi="Arial" w:cs="Arial"/>
        </w:rPr>
        <w:t xml:space="preserve"> provides access to numerous specialized computing laboratories for engineering students, the majority of which are located within the Engineering East building. The specialized computing laboratories include (1) </w:t>
      </w:r>
      <w:r w:rsidRPr="0044526C">
        <w:rPr>
          <w:rFonts w:ascii="Arial" w:hAnsi="Arial" w:cs="Arial"/>
          <w:bCs/>
        </w:rPr>
        <w:t>Experimental Methodology, (2) Microprocessor, Logic Design &amp; Microcontroller, (3) Signal Image &amp; Video Processing, (4) Digital Signal Processing, (5) Mobile Computing, Sensor &amp; Wireless, (6) Empirical Software Engineering, (7) Bio</w:t>
      </w:r>
      <w:r>
        <w:rPr>
          <w:rFonts w:ascii="Arial" w:hAnsi="Arial" w:cs="Arial"/>
          <w:bCs/>
        </w:rPr>
        <w:t>i</w:t>
      </w:r>
      <w:r w:rsidRPr="0044526C">
        <w:rPr>
          <w:rFonts w:ascii="Arial" w:hAnsi="Arial" w:cs="Arial"/>
          <w:bCs/>
        </w:rPr>
        <w:t>nformatics, and (8) Microwave &amp; Satellite Communications</w:t>
      </w:r>
      <w:r w:rsidRPr="0044526C">
        <w:rPr>
          <w:rFonts w:ascii="Arial" w:hAnsi="Arial" w:cs="Arial"/>
        </w:rPr>
        <w:t xml:space="preserve">. These university facilities are centrally supported and funded through the Office of Information Technology. Engineering facilities receive additional support through the college’s Technical Services Group. </w:t>
      </w:r>
      <w:r w:rsidRPr="0057637E">
        <w:rPr>
          <w:rFonts w:ascii="Arial" w:hAnsi="Arial" w:cs="Arial"/>
          <w:bCs/>
        </w:rPr>
        <w:t>The college manages two fully loaded and functional machine shops</w:t>
      </w:r>
      <w:r w:rsidRPr="0057637E">
        <w:rPr>
          <w:rFonts w:ascii="Arial" w:hAnsi="Arial" w:cs="Arial"/>
        </w:rPr>
        <w:t xml:space="preserve"> (see details under </w:t>
      </w:r>
      <w:r w:rsidRPr="0057637E">
        <w:rPr>
          <w:rFonts w:ascii="Arial" w:hAnsi="Arial" w:cs="Arial"/>
          <w:b/>
          <w:bCs/>
        </w:rPr>
        <w:t>Equipment</w:t>
      </w:r>
      <w:r w:rsidRPr="0057637E">
        <w:rPr>
          <w:rFonts w:ascii="Arial" w:hAnsi="Arial" w:cs="Arial"/>
        </w:rPr>
        <w:t>). Project personnel</w:t>
      </w:r>
      <w:r w:rsidRPr="0044526C">
        <w:rPr>
          <w:rFonts w:ascii="Arial" w:hAnsi="Arial" w:cs="Arial"/>
        </w:rPr>
        <w:t xml:space="preserve"> and participating students have access to the I-SENSE laboratories, spanning approximately 4,000 square-foot of space. The Innovation Laboratory provides access to more than 200 wireless sensing platforms, 300 platform peripherals, and a large collection of electronics components selected to support rapid prototyping of sensing systems. The laboratory provides end-to-end support for integrated software engineering, hardware engineering, and mechanical engineering. Personnel and participants are well-equipped to engage in small-volume device production and testing.</w:t>
      </w:r>
    </w:p>
    <w:p w14:paraId="42AF91FE" w14:textId="77777777" w:rsidR="000B7A83" w:rsidRPr="00CB0B23" w:rsidRDefault="000B7A83" w:rsidP="000B7A83">
      <w:pPr>
        <w:ind w:firstLine="360"/>
        <w:jc w:val="both"/>
        <w:rPr>
          <w:rFonts w:ascii="Arial" w:hAnsi="Arial" w:cs="Arial"/>
        </w:rPr>
      </w:pPr>
      <w:r w:rsidRPr="00DD74AC">
        <w:rPr>
          <w:rFonts w:ascii="Arial" w:hAnsi="Arial" w:cs="Arial"/>
        </w:rPr>
        <w:t xml:space="preserve">The </w:t>
      </w:r>
      <w:r w:rsidRPr="00991F47">
        <w:rPr>
          <w:rFonts w:ascii="Arial" w:hAnsi="Arial" w:cs="Arial"/>
          <w:b/>
          <w:bCs/>
          <w:i/>
          <w:iCs/>
        </w:rPr>
        <w:t>College of Social Work &amp; Criminal Justice</w:t>
      </w:r>
      <w:r w:rsidRPr="00DD74AC">
        <w:rPr>
          <w:rFonts w:ascii="Arial" w:hAnsi="Arial" w:cs="Arial"/>
        </w:rPr>
        <w:t xml:space="preserve"> has garnered regional and national acclaim for research and outreach initiatives on cyberbullying, substance abuse, violence, and the effects of climate change and sea-level rise. The College incorporates two schools, </w:t>
      </w:r>
      <w:r w:rsidRPr="00DD74AC">
        <w:rPr>
          <w:rStyle w:val="Strong"/>
          <w:rFonts w:ascii="Arial" w:hAnsi="Arial" w:cs="Arial"/>
          <w:b w:val="0"/>
          <w:bCs w:val="0"/>
        </w:rPr>
        <w:t>Phyllis &amp; Harvey Sandler School of Social Work</w:t>
      </w:r>
      <w:r w:rsidRPr="00DD74AC">
        <w:rPr>
          <w:rFonts w:ascii="Arial" w:hAnsi="Arial" w:cs="Arial"/>
          <w:b/>
          <w:bCs/>
        </w:rPr>
        <w:t xml:space="preserve"> </w:t>
      </w:r>
      <w:r w:rsidRPr="00DD74AC">
        <w:rPr>
          <w:rFonts w:ascii="Arial" w:hAnsi="Arial" w:cs="Arial"/>
        </w:rPr>
        <w:t>and the</w:t>
      </w:r>
      <w:r w:rsidRPr="00DD74AC">
        <w:rPr>
          <w:rFonts w:ascii="Arial" w:hAnsi="Arial" w:cs="Arial"/>
          <w:b/>
          <w:bCs/>
        </w:rPr>
        <w:t xml:space="preserve"> </w:t>
      </w:r>
      <w:r w:rsidRPr="00DD74AC">
        <w:rPr>
          <w:rStyle w:val="Strong"/>
          <w:rFonts w:ascii="Arial" w:hAnsi="Arial" w:cs="Arial"/>
          <w:b w:val="0"/>
          <w:bCs w:val="0"/>
        </w:rPr>
        <w:t>School of Criminology and Criminal Justice.</w:t>
      </w:r>
      <w:r w:rsidRPr="00DD74AC">
        <w:rPr>
          <w:rFonts w:ascii="Arial" w:hAnsi="Arial" w:cs="Arial"/>
        </w:rPr>
        <w:t xml:space="preserve"> The </w:t>
      </w:r>
      <w:r w:rsidRPr="00DD74AC">
        <w:rPr>
          <w:rStyle w:val="Strong"/>
          <w:rFonts w:ascii="Arial" w:hAnsi="Arial" w:cs="Arial"/>
          <w:b w:val="0"/>
          <w:bCs w:val="0"/>
        </w:rPr>
        <w:t>Phyllis &amp; Harvey Sandler School of Social Work’s</w:t>
      </w:r>
      <w:r w:rsidRPr="00DD74AC">
        <w:rPr>
          <w:rFonts w:ascii="Arial" w:hAnsi="Arial" w:cs="Arial"/>
        </w:rPr>
        <w:t xml:space="preserve"> research scholars address some of the most significant social problems our society confronts, led by three research centers: the </w:t>
      </w:r>
      <w:r w:rsidRPr="00DD74AC">
        <w:rPr>
          <w:rFonts w:ascii="Arial" w:hAnsi="Arial" w:cs="Arial"/>
        </w:rPr>
        <w:lastRenderedPageBreak/>
        <w:t>Healthy Aging Academy, the Child Welfare Institute, and a center focused on addiction recovery education and research.</w:t>
      </w:r>
      <w:r w:rsidRPr="00DD74AC">
        <w:rPr>
          <w:rFonts w:ascii="Arial" w:hAnsi="Arial" w:cs="Arial"/>
          <w:b/>
        </w:rPr>
        <w:t xml:space="preserve"> </w:t>
      </w:r>
      <w:r w:rsidRPr="00DD74AC">
        <w:rPr>
          <w:rFonts w:ascii="Arial" w:hAnsi="Arial" w:cs="Arial"/>
          <w:bCs/>
        </w:rPr>
        <w:t>The Healthy Aging Academy</w:t>
      </w:r>
      <w:r w:rsidRPr="00DD74AC">
        <w:rPr>
          <w:rFonts w:ascii="Arial" w:hAnsi="Arial" w:cs="Arial"/>
        </w:rPr>
        <w:t xml:space="preserve"> was established to develop competent eldercare leaders and practitioners to meet growing aging population needs.</w:t>
      </w:r>
      <w:r w:rsidRPr="00DD74AC">
        <w:rPr>
          <w:rFonts w:ascii="Arial" w:hAnsi="Arial" w:cs="Arial"/>
          <w:b/>
        </w:rPr>
        <w:t xml:space="preserve"> </w:t>
      </w:r>
      <w:r w:rsidRPr="00DD74AC">
        <w:rPr>
          <w:rFonts w:ascii="Arial" w:hAnsi="Arial" w:cs="Arial"/>
          <w:bCs/>
        </w:rPr>
        <w:t>The Child Welfare Institute</w:t>
      </w:r>
      <w:r w:rsidRPr="00DD74AC">
        <w:rPr>
          <w:rFonts w:ascii="Arial" w:hAnsi="Arial" w:cs="Arial"/>
        </w:rPr>
        <w:t xml:space="preserve"> partners with public and community-based child welfare agencies in Florida to professionalize the child welfare workforce. The Institute does this by extending the Sandler School of Social Work’s existing research, service, training, and education efforts in child welfare, as well as securing new grants and contracts for these efforts.</w:t>
      </w:r>
      <w:r w:rsidRPr="00DD74AC">
        <w:rPr>
          <w:rFonts w:ascii="Arial" w:hAnsi="Arial" w:cs="Arial"/>
          <w:b/>
        </w:rPr>
        <w:t xml:space="preserve"> </w:t>
      </w:r>
      <w:r w:rsidRPr="00DD74AC">
        <w:rPr>
          <w:rFonts w:ascii="Arial" w:hAnsi="Arial" w:cs="Arial"/>
          <w:bCs/>
        </w:rPr>
        <w:t>The Research Center</w:t>
      </w:r>
      <w:r w:rsidRPr="00DD74AC">
        <w:rPr>
          <w:rFonts w:ascii="Arial" w:hAnsi="Arial" w:cs="Arial"/>
          <w:b/>
        </w:rPr>
        <w:t xml:space="preserve"> </w:t>
      </w:r>
      <w:r w:rsidRPr="00DD74AC">
        <w:rPr>
          <w:rFonts w:ascii="Arial" w:hAnsi="Arial" w:cs="Arial"/>
          <w:bCs/>
        </w:rPr>
        <w:t>for a</w:t>
      </w:r>
      <w:r w:rsidRPr="00DD74AC">
        <w:rPr>
          <w:rFonts w:ascii="Arial" w:hAnsi="Arial" w:cs="Arial"/>
        </w:rPr>
        <w:t>ddiction recovery, education and research was established to</w:t>
      </w:r>
      <w:r w:rsidRPr="00DD74AC">
        <w:rPr>
          <w:rFonts w:ascii="Arial" w:hAnsi="Arial" w:cs="Arial"/>
          <w:b/>
        </w:rPr>
        <w:t xml:space="preserve"> </w:t>
      </w:r>
      <w:r w:rsidRPr="00DD74AC">
        <w:rPr>
          <w:rFonts w:ascii="Arial" w:hAnsi="Arial" w:cs="Arial"/>
        </w:rPr>
        <w:t>act as a center of addiction treatment research for the South Florida region. The Center’s goal is to mobilize knowledge in the broader community regarding addictions and addiction treatment services, through social media engagement, workshops, and other activities for social work and allied disciplinary practitioners in addiction. A new Certified Addictions Professional Certificate program was launched in Fall 2020 to train social work and related professionals for direct practice in addictions treatment.</w:t>
      </w:r>
      <w:r w:rsidRPr="00DD74AC">
        <w:rPr>
          <w:rStyle w:val="Strong"/>
          <w:rFonts w:ascii="Arial" w:hAnsi="Arial" w:cs="Arial"/>
          <w:b w:val="0"/>
          <w:bCs w:val="0"/>
        </w:rPr>
        <w:t xml:space="preserve"> </w:t>
      </w:r>
      <w:r w:rsidRPr="00DD74AC">
        <w:rPr>
          <w:rFonts w:ascii="Arial" w:eastAsia="Calibri" w:hAnsi="Arial" w:cs="Arial"/>
        </w:rPr>
        <w:t xml:space="preserve">The School </w:t>
      </w:r>
      <w:r w:rsidRPr="00DD74AC">
        <w:rPr>
          <w:rStyle w:val="Strong"/>
          <w:rFonts w:ascii="Arial" w:hAnsi="Arial" w:cs="Arial"/>
          <w:b w:val="0"/>
          <w:bCs w:val="0"/>
        </w:rPr>
        <w:t>of Criminology and Criminal Justice</w:t>
      </w:r>
      <w:r w:rsidRPr="00DD74AC">
        <w:rPr>
          <w:rFonts w:ascii="Arial" w:eastAsia="Calibri" w:hAnsi="Arial" w:cs="Arial"/>
        </w:rPr>
        <w:t xml:space="preserve"> focuses on timely social issues such as human trafficking, gang violence, addiction, white-collar crime and crimes of the powerful, the innovative uses of “drug courts” as an alternative to traditional judicial mechanisms, restorative justice, and the effects of cyberbullying on children.</w:t>
      </w:r>
    </w:p>
    <w:p w14:paraId="704E9511" w14:textId="6480929D" w:rsidR="00240533" w:rsidRPr="000C62D6" w:rsidRDefault="00240533" w:rsidP="000C62D6">
      <w:pPr>
        <w:shd w:val="clear" w:color="auto" w:fill="FFFFFF"/>
        <w:spacing w:line="240" w:lineRule="auto"/>
        <w:jc w:val="both"/>
        <w:rPr>
          <w:rFonts w:ascii="Arial" w:eastAsia="Arial" w:hAnsi="Arial" w:cs="Arial"/>
          <w:sz w:val="24"/>
          <w:szCs w:val="24"/>
        </w:rPr>
      </w:pPr>
      <w:r w:rsidRPr="00240533">
        <w:rPr>
          <w:rFonts w:ascii="Arial" w:eastAsia="Arial" w:hAnsi="Arial" w:cs="Arial"/>
          <w:sz w:val="24"/>
          <w:szCs w:val="24"/>
        </w:rPr>
        <w:t xml:space="preserve">                                             </w:t>
      </w:r>
    </w:p>
    <w:p w14:paraId="63F654A5" w14:textId="5C8DEA62" w:rsidR="00127801" w:rsidRPr="00E449C4" w:rsidRDefault="00086AB8" w:rsidP="000C62D6">
      <w:pPr>
        <w:shd w:val="clear" w:color="auto" w:fill="FFFFFF"/>
        <w:spacing w:line="240" w:lineRule="auto"/>
        <w:jc w:val="both"/>
        <w:rPr>
          <w:rFonts w:ascii="Arial" w:eastAsia="Arial" w:hAnsi="Arial" w:cs="Arial"/>
          <w:b/>
          <w:sz w:val="24"/>
          <w:szCs w:val="24"/>
        </w:rPr>
      </w:pPr>
      <w:r w:rsidRPr="00E449C4">
        <w:rPr>
          <w:rFonts w:ascii="Arial" w:eastAsia="Arial" w:hAnsi="Arial" w:cs="Arial"/>
          <w:b/>
          <w:sz w:val="24"/>
          <w:szCs w:val="24"/>
        </w:rPr>
        <w:t>FAU Cores &amp; Services</w:t>
      </w:r>
    </w:p>
    <w:p w14:paraId="6F0D9352" w14:textId="77777777" w:rsidR="00240533" w:rsidRPr="00BD5323" w:rsidRDefault="00240533" w:rsidP="00240533">
      <w:pPr>
        <w:autoSpaceDE w:val="0"/>
        <w:autoSpaceDN w:val="0"/>
        <w:adjustRightInd w:val="0"/>
        <w:spacing w:line="240" w:lineRule="auto"/>
        <w:jc w:val="both"/>
        <w:rPr>
          <w:rFonts w:ascii="Arial" w:hAnsi="Arial" w:cs="Arial"/>
          <w:sz w:val="24"/>
          <w:szCs w:val="24"/>
        </w:rPr>
      </w:pPr>
      <w:r w:rsidRPr="000C62D6">
        <w:rPr>
          <w:rFonts w:ascii="Arial" w:hAnsi="Arial" w:cs="Arial"/>
          <w:b/>
          <w:sz w:val="24"/>
          <w:szCs w:val="24"/>
        </w:rPr>
        <w:t xml:space="preserve">FAU Clinical Research Unit (CRU). </w:t>
      </w:r>
      <w:r w:rsidRPr="000C62D6">
        <w:rPr>
          <w:rFonts w:ascii="Arial" w:hAnsi="Arial" w:cs="Arial"/>
          <w:sz w:val="24"/>
          <w:szCs w:val="24"/>
        </w:rPr>
        <w:t xml:space="preserve">The Clinical Research Unit (CRU) provides the tools, training and guidance to properly conduct clinical research. The CRU’s dedicated staff of research professionals are skilled in several aspects of clinical research, including study startup, project coordination and regulatory oversight. The CRU staff includes an experienced clinical research physician, project leaders </w:t>
      </w:r>
      <w:r w:rsidRPr="00BD5323">
        <w:rPr>
          <w:rFonts w:ascii="Arial" w:hAnsi="Arial" w:cs="Arial"/>
          <w:sz w:val="24"/>
          <w:szCs w:val="24"/>
        </w:rPr>
        <w:t>and study coordinators to provide human subject’s research protection and regulatory assistance. In addition, the facility is staffed with a fully credentialed, basic life support certified registered nurse and a certified/registered medical assistant. The nursing team members are skilled in advanced assessment, phlebotomy, administration of various routes of medication, audiometry, electroencephalogram, and pulmonary function testing. In the initial phases of investigator-initiated research studies, the unit along with the Biostatistics Core, provides support on study design, biostatistics, epidemiology and health services research consultation.</w:t>
      </w:r>
    </w:p>
    <w:p w14:paraId="76D9AE11" w14:textId="77777777" w:rsidR="00240533" w:rsidRPr="00BD5323" w:rsidRDefault="00240533" w:rsidP="00240533">
      <w:pPr>
        <w:autoSpaceDE w:val="0"/>
        <w:autoSpaceDN w:val="0"/>
        <w:adjustRightInd w:val="0"/>
        <w:jc w:val="both"/>
        <w:rPr>
          <w:rFonts w:ascii="Arial" w:hAnsi="Arial" w:cs="Arial"/>
          <w:sz w:val="24"/>
          <w:szCs w:val="24"/>
        </w:rPr>
      </w:pPr>
      <w:r w:rsidRPr="00BD5323">
        <w:rPr>
          <w:rFonts w:ascii="Arial" w:hAnsi="Arial" w:cs="Arial"/>
          <w:sz w:val="24"/>
          <w:szCs w:val="24"/>
        </w:rPr>
        <w:t xml:space="preserve">The CRU, located on the Boca Raton campus, is 8000 sq ft, has four exam rooms, two private cognitive/consultation rooms and a waiting room for participants and family members with complimentary computer workstations. The CRU includes 3 infusion suites with individual Welch Allyn Spot Vital Signs Monitors with pulse oximeter, 4 fully equipped exam rooms, and 2 rooms for private cognitive testing, The CRU equipment includes: DEXA machine for anthropometric measurements., OCT- Cirrus Essential (Zeiss), Spirometer-Pneumotach, </w:t>
      </w:r>
      <w:proofErr w:type="spellStart"/>
      <w:r w:rsidRPr="00BD5323">
        <w:rPr>
          <w:rFonts w:ascii="Arial" w:hAnsi="Arial" w:cs="Arial"/>
          <w:sz w:val="24"/>
          <w:szCs w:val="24"/>
        </w:rPr>
        <w:t>InBalance</w:t>
      </w:r>
      <w:proofErr w:type="spellEnd"/>
      <w:r w:rsidRPr="00BD5323">
        <w:rPr>
          <w:rFonts w:ascii="Arial" w:hAnsi="Arial" w:cs="Arial"/>
          <w:sz w:val="24"/>
          <w:szCs w:val="24"/>
        </w:rPr>
        <w:t xml:space="preserve"> </w:t>
      </w:r>
      <w:proofErr w:type="spellStart"/>
      <w:r w:rsidRPr="00BD5323">
        <w:rPr>
          <w:rFonts w:ascii="Arial" w:hAnsi="Arial" w:cs="Arial"/>
          <w:sz w:val="24"/>
          <w:szCs w:val="24"/>
        </w:rPr>
        <w:t>Videonystagmography</w:t>
      </w:r>
      <w:proofErr w:type="spellEnd"/>
      <w:r w:rsidRPr="00BD5323">
        <w:rPr>
          <w:rFonts w:ascii="Arial" w:hAnsi="Arial" w:cs="Arial"/>
          <w:sz w:val="24"/>
          <w:szCs w:val="24"/>
        </w:rPr>
        <w:t xml:space="preserve">/Diagnostic system (VNG3000), </w:t>
      </w:r>
      <w:proofErr w:type="spellStart"/>
      <w:r w:rsidRPr="00BD5323">
        <w:rPr>
          <w:rFonts w:ascii="Arial" w:hAnsi="Arial" w:cs="Arial"/>
          <w:sz w:val="24"/>
          <w:szCs w:val="24"/>
        </w:rPr>
        <w:t>FallTrak</w:t>
      </w:r>
      <w:proofErr w:type="spellEnd"/>
      <w:r w:rsidRPr="00BD5323">
        <w:rPr>
          <w:rFonts w:ascii="Arial" w:hAnsi="Arial" w:cs="Arial"/>
          <w:sz w:val="24"/>
          <w:szCs w:val="24"/>
        </w:rPr>
        <w:t xml:space="preserve"> II </w:t>
      </w:r>
      <w:proofErr w:type="spellStart"/>
      <w:r w:rsidRPr="00BD5323">
        <w:rPr>
          <w:rFonts w:ascii="Arial" w:hAnsi="Arial" w:cs="Arial"/>
          <w:sz w:val="24"/>
          <w:szCs w:val="24"/>
        </w:rPr>
        <w:t>Humac</w:t>
      </w:r>
      <w:proofErr w:type="spellEnd"/>
      <w:r w:rsidRPr="00BD5323">
        <w:rPr>
          <w:rFonts w:ascii="Arial" w:hAnsi="Arial" w:cs="Arial"/>
          <w:sz w:val="24"/>
          <w:szCs w:val="24"/>
        </w:rPr>
        <w:t xml:space="preserve"> balance (VNG system), BTE Technologies Eval Tech Functional Testing System, In Body 770, In Body stadiometer (BSM 170), and Prokinetics </w:t>
      </w:r>
      <w:proofErr w:type="spellStart"/>
      <w:r w:rsidRPr="00BD5323">
        <w:rPr>
          <w:rFonts w:ascii="Arial" w:hAnsi="Arial" w:cs="Arial"/>
          <w:sz w:val="24"/>
          <w:szCs w:val="24"/>
        </w:rPr>
        <w:t>ZenoMetrics</w:t>
      </w:r>
      <w:proofErr w:type="spellEnd"/>
      <w:r w:rsidRPr="00BD5323">
        <w:rPr>
          <w:rFonts w:ascii="Arial" w:hAnsi="Arial" w:cs="Arial"/>
          <w:sz w:val="24"/>
          <w:szCs w:val="24"/>
        </w:rPr>
        <w:t xml:space="preserve"> – </w:t>
      </w:r>
      <w:proofErr w:type="spellStart"/>
      <w:r w:rsidRPr="00BD5323">
        <w:rPr>
          <w:rFonts w:ascii="Arial" w:hAnsi="Arial" w:cs="Arial"/>
          <w:sz w:val="24"/>
          <w:szCs w:val="24"/>
        </w:rPr>
        <w:t>Zenomat</w:t>
      </w:r>
      <w:proofErr w:type="spellEnd"/>
      <w:r w:rsidRPr="00BD5323">
        <w:rPr>
          <w:rFonts w:ascii="Arial" w:hAnsi="Arial" w:cs="Arial"/>
          <w:sz w:val="24"/>
          <w:szCs w:val="24"/>
        </w:rPr>
        <w:t xml:space="preserve">. The unit has a Pharmacy space designed to safely store and deliver drugs utilized in clinical trials. The CRU laboratory is equipped with two -80 freezers, -20 freezer, Follett Refrigerator, biosafety cabinet, and three centrifuges:  Horizon 653V, RPM 3-303, Centrifuge, Eppendorf AG 5702R, Centrifuge, Thermo Scientific. </w:t>
      </w:r>
    </w:p>
    <w:p w14:paraId="17F7B6FE" w14:textId="69646BD5" w:rsidR="00240533" w:rsidRPr="00BD5323" w:rsidRDefault="00240533" w:rsidP="00240533">
      <w:pPr>
        <w:widowControl w:val="0"/>
        <w:adjustRightInd w:val="0"/>
        <w:spacing w:after="0" w:line="240" w:lineRule="auto"/>
        <w:jc w:val="both"/>
        <w:rPr>
          <w:rFonts w:ascii="Arial" w:hAnsi="Arial" w:cs="Arial"/>
          <w:sz w:val="24"/>
          <w:szCs w:val="24"/>
        </w:rPr>
      </w:pPr>
      <w:r w:rsidRPr="00BD5323">
        <w:rPr>
          <w:rFonts w:ascii="Arial" w:hAnsi="Arial" w:cs="Arial"/>
          <w:sz w:val="24"/>
          <w:szCs w:val="24"/>
        </w:rPr>
        <w:t xml:space="preserve">By December 2022, an MR facility will be developed adjacent to the CRU. It will house a research focused GE Signa Premier 3T scanner and be equipped for simultaneous EEG and MRI. The GE scanner will include flexible and lightweight 30 channel AIR anterior array coil, 21 </w:t>
      </w:r>
      <w:proofErr w:type="gramStart"/>
      <w:r w:rsidRPr="00BD5323">
        <w:rPr>
          <w:rFonts w:ascii="Arial" w:hAnsi="Arial" w:cs="Arial"/>
          <w:sz w:val="24"/>
          <w:szCs w:val="24"/>
        </w:rPr>
        <w:t>channel</w:t>
      </w:r>
      <w:proofErr w:type="gramEnd"/>
      <w:r w:rsidRPr="00BD5323">
        <w:rPr>
          <w:rFonts w:ascii="Arial" w:hAnsi="Arial" w:cs="Arial"/>
          <w:sz w:val="24"/>
          <w:szCs w:val="24"/>
        </w:rPr>
        <w:t xml:space="preserve"> large multipurpose and 20 channel multipurpose AIR coils, a table-embedded 60 channel posterior array coil, and a 48 channel head coil, which allows for advanced functional MRI scanning. Additionally, an MR compatible EEG system including a 64 channel </w:t>
      </w:r>
      <w:proofErr w:type="spellStart"/>
      <w:r w:rsidRPr="00BD5323">
        <w:rPr>
          <w:rFonts w:ascii="Arial" w:hAnsi="Arial" w:cs="Arial"/>
          <w:sz w:val="24"/>
          <w:szCs w:val="24"/>
        </w:rPr>
        <w:t>BrainCap</w:t>
      </w:r>
      <w:proofErr w:type="spellEnd"/>
      <w:r w:rsidRPr="00BD5323">
        <w:rPr>
          <w:rFonts w:ascii="Arial" w:hAnsi="Arial" w:cs="Arial"/>
          <w:sz w:val="24"/>
          <w:szCs w:val="24"/>
        </w:rPr>
        <w:t xml:space="preserve">-MR and 64 channel </w:t>
      </w:r>
      <w:proofErr w:type="spellStart"/>
      <w:r w:rsidRPr="00BD5323">
        <w:rPr>
          <w:rFonts w:ascii="Arial" w:hAnsi="Arial" w:cs="Arial"/>
          <w:sz w:val="24"/>
          <w:szCs w:val="24"/>
        </w:rPr>
        <w:t>BrainAmp</w:t>
      </w:r>
      <w:proofErr w:type="spellEnd"/>
      <w:r w:rsidRPr="00BD5323">
        <w:rPr>
          <w:rFonts w:ascii="Arial" w:hAnsi="Arial" w:cs="Arial"/>
          <w:sz w:val="24"/>
          <w:szCs w:val="24"/>
        </w:rPr>
        <w:t xml:space="preserve"> MR plus, designed to work with 3T MRI scanners or as individual systems will be available. To aid in simultaneous EEG and MRI acquisition, fibrotic cables, a synchronizing complex and trigger box kit for </w:t>
      </w:r>
      <w:proofErr w:type="spellStart"/>
      <w:r w:rsidRPr="00BD5323">
        <w:rPr>
          <w:rFonts w:ascii="Arial" w:hAnsi="Arial" w:cs="Arial"/>
          <w:sz w:val="24"/>
          <w:szCs w:val="24"/>
        </w:rPr>
        <w:lastRenderedPageBreak/>
        <w:t>BrainAmp</w:t>
      </w:r>
      <w:proofErr w:type="spellEnd"/>
      <w:r w:rsidRPr="00BD5323">
        <w:rPr>
          <w:rFonts w:ascii="Arial" w:hAnsi="Arial" w:cs="Arial"/>
          <w:sz w:val="24"/>
          <w:szCs w:val="24"/>
        </w:rPr>
        <w:t xml:space="preserve"> will be available. The MR Facility will be supported by an MR technologist and CRU staff for paradigm development, scheduling. MRIs will be performed at this scanner for this work. </w:t>
      </w:r>
    </w:p>
    <w:p w14:paraId="4C89C988" w14:textId="2308CC0C" w:rsidR="00240533" w:rsidRPr="00BD5323" w:rsidRDefault="00240533" w:rsidP="00240533">
      <w:pPr>
        <w:widowControl w:val="0"/>
        <w:adjustRightInd w:val="0"/>
        <w:spacing w:after="0" w:line="240" w:lineRule="auto"/>
        <w:jc w:val="both"/>
        <w:rPr>
          <w:rFonts w:ascii="Arial" w:hAnsi="Arial" w:cs="Arial"/>
          <w:sz w:val="24"/>
          <w:szCs w:val="24"/>
        </w:rPr>
      </w:pPr>
    </w:p>
    <w:p w14:paraId="2388A86D" w14:textId="1F670C30" w:rsidR="00240533" w:rsidRPr="00BD5323" w:rsidRDefault="00240533" w:rsidP="00240533">
      <w:pPr>
        <w:widowControl w:val="0"/>
        <w:adjustRightInd w:val="0"/>
        <w:spacing w:after="0" w:line="240" w:lineRule="auto"/>
        <w:jc w:val="both"/>
        <w:rPr>
          <w:rFonts w:ascii="Arial" w:hAnsi="Arial" w:cs="Arial"/>
          <w:sz w:val="24"/>
          <w:szCs w:val="24"/>
        </w:rPr>
      </w:pPr>
      <w:proofErr w:type="spellStart"/>
      <w:r w:rsidRPr="00BD5323">
        <w:rPr>
          <w:rFonts w:ascii="Arial" w:hAnsi="Arial" w:cs="Arial"/>
          <w:sz w:val="24"/>
          <w:szCs w:val="24"/>
        </w:rPr>
        <w:t>REDCap</w:t>
      </w:r>
      <w:proofErr w:type="spellEnd"/>
      <w:r w:rsidRPr="00BD5323">
        <w:rPr>
          <w:rFonts w:ascii="Arial" w:hAnsi="Arial" w:cs="Arial"/>
          <w:sz w:val="24"/>
          <w:szCs w:val="24"/>
        </w:rPr>
        <w:t xml:space="preserve"> is a secure web application for building and managing online surveys and databases. Provided by the FAU Office of Information Technology (OIT) and sponsored by the Division of Research, Research Electronic Data Capture (</w:t>
      </w:r>
      <w:proofErr w:type="spellStart"/>
      <w:r w:rsidRPr="00BD5323">
        <w:rPr>
          <w:rFonts w:ascii="Arial" w:hAnsi="Arial" w:cs="Arial"/>
          <w:sz w:val="24"/>
          <w:szCs w:val="24"/>
        </w:rPr>
        <w:t>REDCap</w:t>
      </w:r>
      <w:proofErr w:type="spellEnd"/>
      <w:r w:rsidRPr="00BD5323">
        <w:rPr>
          <w:rFonts w:ascii="Arial" w:hAnsi="Arial" w:cs="Arial"/>
          <w:sz w:val="24"/>
          <w:szCs w:val="24"/>
        </w:rPr>
        <w:t xml:space="preserve">) provides electronic data capture services to researchers, faculty, employees and students. </w:t>
      </w:r>
      <w:proofErr w:type="spellStart"/>
      <w:r w:rsidRPr="00BD5323">
        <w:rPr>
          <w:rFonts w:ascii="Arial" w:hAnsi="Arial" w:cs="Arial"/>
          <w:sz w:val="24"/>
          <w:szCs w:val="24"/>
        </w:rPr>
        <w:t>REDCap</w:t>
      </w:r>
      <w:proofErr w:type="spellEnd"/>
      <w:r w:rsidRPr="00BD5323">
        <w:rPr>
          <w:rFonts w:ascii="Arial" w:hAnsi="Arial" w:cs="Arial"/>
          <w:sz w:val="24"/>
          <w:szCs w:val="24"/>
        </w:rPr>
        <w:t xml:space="preserve"> can be used for sensitive data. Qualtrics is a provider of survey solutions. FAU now maintains a license for Qualtrics to conduct online surveys. All administrators, faculty, staff, and students have access to use the software using their FAU Net ID and password once they create their account.</w:t>
      </w:r>
    </w:p>
    <w:p w14:paraId="7B69B852" w14:textId="71121956" w:rsidR="00240533" w:rsidRPr="00BD5323" w:rsidRDefault="00240533" w:rsidP="005336CD">
      <w:pPr>
        <w:widowControl w:val="0"/>
        <w:adjustRightInd w:val="0"/>
        <w:spacing w:after="0" w:line="240" w:lineRule="auto"/>
        <w:jc w:val="both"/>
        <w:rPr>
          <w:rFonts w:ascii="Arial" w:hAnsi="Arial" w:cs="Arial"/>
          <w:b/>
          <w:sz w:val="24"/>
          <w:szCs w:val="24"/>
          <w:u w:val="single"/>
        </w:rPr>
      </w:pPr>
    </w:p>
    <w:p w14:paraId="6553D961" w14:textId="77777777" w:rsidR="00086AB8" w:rsidRPr="00BD5323" w:rsidRDefault="00086AB8" w:rsidP="00086AB8">
      <w:pPr>
        <w:widowControl w:val="0"/>
        <w:adjustRightInd w:val="0"/>
        <w:spacing w:after="0" w:line="240" w:lineRule="auto"/>
        <w:jc w:val="both"/>
        <w:rPr>
          <w:rFonts w:ascii="Arial" w:hAnsi="Arial" w:cs="Arial"/>
          <w:sz w:val="24"/>
          <w:szCs w:val="24"/>
        </w:rPr>
      </w:pPr>
      <w:r w:rsidRPr="00BD5323">
        <w:rPr>
          <w:rFonts w:ascii="Arial" w:hAnsi="Arial" w:cs="Arial"/>
          <w:b/>
          <w:sz w:val="24"/>
          <w:szCs w:val="24"/>
        </w:rPr>
        <w:t xml:space="preserve">FAU Biostatistics Collaborative Core. </w:t>
      </w:r>
      <w:r w:rsidRPr="00BD5323">
        <w:rPr>
          <w:rFonts w:ascii="Arial" w:hAnsi="Arial" w:cs="Arial"/>
          <w:sz w:val="24"/>
          <w:szCs w:val="24"/>
        </w:rPr>
        <w:t>The FAU Biostatistics Core (BCC) provides access to high quality biostatistics support to investigators involved in health-related research. The BCC is led by Katherine Freeman, D.P.H., an expert in the design and statistical analysis of multicenter randomized clinical trials (RCT) and observational studies. Dr. Freeman is also proficient in hierarchical modeling, survival analysis including multi-event methods, and meta-analysis for screening and other study designs. She has written or coauthored several successful NIH and foundation supported research grant applications for which she has been the Principal or Co-Investigator. Dr. Freeman is supported by a team of eight key research faculty from such areas as biostatistics, epidemiology, health economics, psychometrics, big data analytics, and computational biology. The BCC also provides workshops to new and seasoned investigators on a range of topics. Topics include introductory biostatistics, study design, epidemiology (framing a research question, causality, confounding), screening, reliability, clinical trial design and reporting, graphics, systematic reviews/meta-analysis, multiple linear and logistic regression modeling, hierarchical models, single and recurring event, survival models, statistical genetics, computational biology, and communication of statistical findings.</w:t>
      </w:r>
    </w:p>
    <w:p w14:paraId="46709ADF" w14:textId="5CC75479" w:rsidR="00086AB8" w:rsidRDefault="00086AB8" w:rsidP="00BD5323">
      <w:pPr>
        <w:widowControl w:val="0"/>
        <w:adjustRightInd w:val="0"/>
        <w:spacing w:after="0" w:line="240" w:lineRule="auto"/>
        <w:jc w:val="both"/>
        <w:rPr>
          <w:rFonts w:ascii="Arial" w:hAnsi="Arial" w:cs="Arial"/>
          <w:b/>
          <w:sz w:val="24"/>
          <w:szCs w:val="24"/>
          <w:u w:val="single"/>
        </w:rPr>
      </w:pPr>
    </w:p>
    <w:p w14:paraId="25AA1E9D" w14:textId="77777777" w:rsidR="00086AB8" w:rsidRPr="00E449C4" w:rsidRDefault="00086AB8" w:rsidP="00086AB8">
      <w:pPr>
        <w:jc w:val="both"/>
        <w:rPr>
          <w:rFonts w:ascii="Arial" w:hAnsi="Arial" w:cs="Arial"/>
          <w:b/>
          <w:sz w:val="24"/>
          <w:szCs w:val="24"/>
        </w:rPr>
      </w:pPr>
      <w:r w:rsidRPr="00E449C4">
        <w:rPr>
          <w:rFonts w:ascii="Arial" w:hAnsi="Arial" w:cs="Arial"/>
          <w:b/>
          <w:sz w:val="24"/>
          <w:szCs w:val="24"/>
        </w:rPr>
        <w:t>FAU Neurobehavior Core</w:t>
      </w:r>
    </w:p>
    <w:p w14:paraId="0A654621" w14:textId="77777777" w:rsidR="00086AB8" w:rsidRPr="00586A90" w:rsidRDefault="00086AB8" w:rsidP="00086AB8">
      <w:pPr>
        <w:ind w:firstLine="360"/>
        <w:jc w:val="both"/>
        <w:rPr>
          <w:rFonts w:ascii="Arial" w:hAnsi="Arial" w:cs="Arial"/>
          <w:bCs/>
        </w:rPr>
      </w:pPr>
      <w:r w:rsidRPr="00586A90">
        <w:rPr>
          <w:rFonts w:ascii="Arial" w:hAnsi="Arial" w:cs="Arial"/>
        </w:rPr>
        <w:t xml:space="preserve">The </w:t>
      </w:r>
      <w:r w:rsidRPr="00586A90">
        <w:rPr>
          <w:rFonts w:ascii="Arial" w:hAnsi="Arial" w:cs="Arial"/>
          <w:bCs/>
        </w:rPr>
        <w:t>FAU Neurobehavior Core is contained within space in buildings MC-17 and MC-19, with FAU Comparative Medicine colony housing in adjacent rooms in each building, facilitating transport of mice from housing to the behavior rooms.</w:t>
      </w:r>
      <w:r w:rsidRPr="00586A90">
        <w:rPr>
          <w:rFonts w:ascii="Arial" w:hAnsi="Arial" w:cs="Arial"/>
        </w:rPr>
        <w:t xml:space="preserve"> Behavioral tasks and equipment and facilities available are listed below. Behavioral tasks not included in the list may be considered in consultation with the Behavior Core.</w:t>
      </w:r>
    </w:p>
    <w:p w14:paraId="6A401256" w14:textId="77777777" w:rsidR="00086AB8" w:rsidRPr="00586A90" w:rsidRDefault="00086AB8" w:rsidP="00086AB8">
      <w:pPr>
        <w:jc w:val="both"/>
        <w:rPr>
          <w:rFonts w:ascii="Arial" w:hAnsi="Arial" w:cs="Arial"/>
          <w:b/>
          <w:bCs/>
        </w:rPr>
      </w:pPr>
      <w:r w:rsidRPr="00586A90">
        <w:rPr>
          <w:rFonts w:ascii="Arial" w:hAnsi="Arial" w:cs="Arial"/>
          <w:b/>
          <w:bCs/>
        </w:rPr>
        <w:t>Behavioral Procedures:</w:t>
      </w:r>
    </w:p>
    <w:p w14:paraId="370C6FD8" w14:textId="77777777" w:rsidR="00086AB8" w:rsidRPr="00586A90" w:rsidRDefault="00086AB8" w:rsidP="00086AB8">
      <w:pPr>
        <w:jc w:val="both"/>
        <w:rPr>
          <w:rFonts w:ascii="Arial" w:hAnsi="Arial" w:cs="Arial"/>
        </w:rPr>
      </w:pPr>
      <w:r w:rsidRPr="00586A90">
        <w:rPr>
          <w:rFonts w:ascii="Arial" w:hAnsi="Arial" w:cs="Arial"/>
          <w:b/>
          <w:bCs/>
        </w:rPr>
        <w:t xml:space="preserve">Gross neurological exam (Irwin screen): </w:t>
      </w:r>
      <w:r w:rsidRPr="00586A90">
        <w:rPr>
          <w:rFonts w:ascii="Arial" w:hAnsi="Arial" w:cs="Arial"/>
        </w:rPr>
        <w:t>The screen involves assessment of physical appearance, sensory and motor responses, spontaneous behavior in a novel environment. Reflexes such as righting, touch escape, trunk curl, reaching, are also assessed.</w:t>
      </w:r>
    </w:p>
    <w:p w14:paraId="732B7BF2" w14:textId="77777777" w:rsidR="00086AB8" w:rsidRPr="00586A90" w:rsidRDefault="00086AB8" w:rsidP="00086AB8">
      <w:pPr>
        <w:jc w:val="both"/>
        <w:rPr>
          <w:rFonts w:ascii="Arial" w:hAnsi="Arial" w:cs="Arial"/>
        </w:rPr>
      </w:pPr>
      <w:r w:rsidRPr="00586A90">
        <w:rPr>
          <w:rFonts w:ascii="Arial" w:hAnsi="Arial" w:cs="Arial"/>
          <w:b/>
          <w:bCs/>
        </w:rPr>
        <w:t>Somatosensory.</w:t>
      </w:r>
      <w:r w:rsidRPr="00586A90">
        <w:rPr>
          <w:rFonts w:ascii="Arial" w:hAnsi="Arial" w:cs="Arial"/>
        </w:rPr>
        <w:t xml:space="preserve"> Touch Test sensory evaluator kit (Von Frey filaments) are available as a test of somatosensory perception Shock threshold analysis is performed automatically when using other behavioral tests involving administration of electric shock. </w:t>
      </w:r>
    </w:p>
    <w:p w14:paraId="663EE1E2" w14:textId="77777777" w:rsidR="00086AB8" w:rsidRPr="00586A90" w:rsidRDefault="00086AB8" w:rsidP="00086AB8">
      <w:pPr>
        <w:jc w:val="both"/>
        <w:rPr>
          <w:rFonts w:ascii="Arial" w:hAnsi="Arial" w:cs="Arial"/>
        </w:rPr>
      </w:pPr>
      <w:r w:rsidRPr="00586A90">
        <w:rPr>
          <w:rFonts w:ascii="Arial" w:hAnsi="Arial" w:cs="Arial"/>
          <w:b/>
          <w:bCs/>
        </w:rPr>
        <w:t>Motor coordination.</w:t>
      </w:r>
      <w:r w:rsidRPr="00586A90">
        <w:rPr>
          <w:rFonts w:ascii="Arial" w:hAnsi="Arial" w:cs="Arial"/>
        </w:rPr>
        <w:t xml:space="preserve"> Available tests include rotarod, pole climb, grip strength meter, and inverted screen, and treadmill, which assess balance, coordination, and grip strength.</w:t>
      </w:r>
    </w:p>
    <w:p w14:paraId="156C7565" w14:textId="77777777" w:rsidR="00086AB8" w:rsidRPr="00586A90" w:rsidRDefault="00086AB8" w:rsidP="00086AB8">
      <w:pPr>
        <w:jc w:val="both"/>
        <w:rPr>
          <w:rFonts w:ascii="Arial" w:hAnsi="Arial" w:cs="Arial"/>
          <w:b/>
        </w:rPr>
      </w:pPr>
      <w:r w:rsidRPr="00586A90">
        <w:rPr>
          <w:rFonts w:ascii="Arial" w:hAnsi="Arial" w:cs="Arial"/>
          <w:b/>
        </w:rPr>
        <w:t>Equipment:</w:t>
      </w:r>
    </w:p>
    <w:p w14:paraId="7CE05271" w14:textId="77777777" w:rsidR="00086AB8" w:rsidRPr="00586A90" w:rsidRDefault="00086AB8" w:rsidP="00086AB8">
      <w:pPr>
        <w:pStyle w:val="ListParagraph"/>
        <w:numPr>
          <w:ilvl w:val="0"/>
          <w:numId w:val="5"/>
        </w:numPr>
        <w:spacing w:after="0" w:line="240" w:lineRule="auto"/>
        <w:jc w:val="both"/>
        <w:rPr>
          <w:rFonts w:ascii="Arial" w:hAnsi="Arial" w:cs="Arial"/>
        </w:rPr>
      </w:pPr>
      <w:r w:rsidRPr="00586A90">
        <w:rPr>
          <w:rFonts w:ascii="Arial" w:hAnsi="Arial" w:cs="Arial"/>
          <w:b/>
        </w:rPr>
        <w:t>Med Associates 5-lane rotarod</w:t>
      </w:r>
      <w:r w:rsidRPr="00586A90">
        <w:rPr>
          <w:rFonts w:ascii="Arial" w:hAnsi="Arial" w:cs="Arial"/>
        </w:rPr>
        <w:t>; with computer workstation and analysis software.</w:t>
      </w:r>
    </w:p>
    <w:p w14:paraId="44C7C671" w14:textId="77777777" w:rsidR="00086AB8" w:rsidRPr="00586A90" w:rsidRDefault="00086AB8" w:rsidP="00086AB8">
      <w:pPr>
        <w:pStyle w:val="ListParagraph"/>
        <w:numPr>
          <w:ilvl w:val="0"/>
          <w:numId w:val="5"/>
        </w:numPr>
        <w:spacing w:after="0" w:line="240" w:lineRule="auto"/>
        <w:jc w:val="both"/>
        <w:rPr>
          <w:rFonts w:ascii="Arial" w:hAnsi="Arial" w:cs="Arial"/>
          <w:b/>
        </w:rPr>
      </w:pPr>
      <w:r w:rsidRPr="00586A90">
        <w:rPr>
          <w:rFonts w:ascii="Arial" w:hAnsi="Arial" w:cs="Arial"/>
          <w:b/>
        </w:rPr>
        <w:t xml:space="preserve">SDI animal grip strength. </w:t>
      </w:r>
      <w:r w:rsidRPr="00586A90">
        <w:rPr>
          <w:rFonts w:ascii="Arial" w:hAnsi="Arial" w:cs="Arial"/>
        </w:rPr>
        <w:t>Includes gauge and testing stand with adjustable mesh grip.</w:t>
      </w:r>
    </w:p>
    <w:p w14:paraId="3F14AD99" w14:textId="77777777" w:rsidR="00086AB8" w:rsidRDefault="00086AB8" w:rsidP="00086AB8">
      <w:pPr>
        <w:jc w:val="both"/>
        <w:rPr>
          <w:rFonts w:ascii="Arial" w:hAnsi="Arial" w:cs="Arial"/>
          <w:b/>
          <w:bCs/>
        </w:rPr>
      </w:pPr>
    </w:p>
    <w:p w14:paraId="1754AA8A" w14:textId="77777777" w:rsidR="00086AB8" w:rsidRPr="00586A90" w:rsidRDefault="00086AB8" w:rsidP="00086AB8">
      <w:pPr>
        <w:jc w:val="both"/>
        <w:rPr>
          <w:rFonts w:ascii="Arial" w:hAnsi="Arial" w:cs="Arial"/>
        </w:rPr>
      </w:pPr>
      <w:r w:rsidRPr="00586A90">
        <w:rPr>
          <w:rFonts w:ascii="Arial" w:hAnsi="Arial" w:cs="Arial"/>
          <w:b/>
          <w:bCs/>
        </w:rPr>
        <w:t>Startle/sensorimotor gating.</w:t>
      </w:r>
      <w:r w:rsidRPr="00586A90">
        <w:rPr>
          <w:rFonts w:ascii="Arial" w:hAnsi="Arial" w:cs="Arial"/>
        </w:rPr>
        <w:t xml:space="preserve"> Acoustic startle response (ASR), </w:t>
      </w:r>
      <w:proofErr w:type="spellStart"/>
      <w:r w:rsidRPr="00586A90">
        <w:rPr>
          <w:rFonts w:ascii="Arial" w:hAnsi="Arial" w:cs="Arial"/>
        </w:rPr>
        <w:t>prepulse</w:t>
      </w:r>
      <w:proofErr w:type="spellEnd"/>
      <w:r w:rsidRPr="00586A90">
        <w:rPr>
          <w:rFonts w:ascii="Arial" w:hAnsi="Arial" w:cs="Arial"/>
        </w:rPr>
        <w:t xml:space="preserve"> inhibition, habituation, and fear-potentiated startle are available. Sensorimotor gating is impaired in many neurological disorders, including autism and schizophrenia.</w:t>
      </w:r>
    </w:p>
    <w:p w14:paraId="261F2F73" w14:textId="77777777" w:rsidR="00086AB8" w:rsidRPr="00586A90" w:rsidRDefault="00086AB8" w:rsidP="00086AB8">
      <w:pPr>
        <w:jc w:val="both"/>
        <w:rPr>
          <w:rFonts w:ascii="Arial" w:hAnsi="Arial" w:cs="Arial"/>
          <w:b/>
        </w:rPr>
      </w:pPr>
      <w:r w:rsidRPr="00586A90">
        <w:rPr>
          <w:rFonts w:ascii="Arial" w:hAnsi="Arial" w:cs="Arial"/>
          <w:b/>
        </w:rPr>
        <w:lastRenderedPageBreak/>
        <w:t>Equipment:</w:t>
      </w:r>
    </w:p>
    <w:p w14:paraId="156C14EA" w14:textId="77777777" w:rsidR="00086AB8" w:rsidRPr="00586A90" w:rsidRDefault="00086AB8" w:rsidP="00086AB8">
      <w:pPr>
        <w:pStyle w:val="ListParagraph"/>
        <w:numPr>
          <w:ilvl w:val="0"/>
          <w:numId w:val="8"/>
        </w:numPr>
        <w:spacing w:after="0" w:line="240" w:lineRule="auto"/>
        <w:jc w:val="both"/>
        <w:rPr>
          <w:rFonts w:ascii="Arial" w:hAnsi="Arial" w:cs="Arial"/>
        </w:rPr>
      </w:pPr>
      <w:r w:rsidRPr="00586A90">
        <w:rPr>
          <w:rFonts w:ascii="Arial" w:hAnsi="Arial" w:cs="Arial"/>
          <w:b/>
        </w:rPr>
        <w:t>SDI SR-Lab Startle Response System</w:t>
      </w:r>
      <w:r w:rsidRPr="00586A90">
        <w:rPr>
          <w:rFonts w:ascii="Arial" w:hAnsi="Arial" w:cs="Arial"/>
        </w:rPr>
        <w:t>; 4-chamber startle system, including PC and analysis software, and components to provide tones, lights, air puffs, background noise and foot shock.</w:t>
      </w:r>
    </w:p>
    <w:p w14:paraId="6E6B0915" w14:textId="77777777" w:rsidR="00086AB8" w:rsidRDefault="00086AB8" w:rsidP="00086AB8">
      <w:pPr>
        <w:jc w:val="both"/>
        <w:rPr>
          <w:rFonts w:ascii="Arial" w:hAnsi="Arial" w:cs="Arial"/>
          <w:b/>
          <w:bCs/>
        </w:rPr>
      </w:pPr>
    </w:p>
    <w:p w14:paraId="1B484DB0" w14:textId="77777777" w:rsidR="00086AB8" w:rsidRPr="00586A90" w:rsidRDefault="00086AB8" w:rsidP="00086AB8">
      <w:pPr>
        <w:jc w:val="both"/>
        <w:rPr>
          <w:rFonts w:ascii="Arial" w:hAnsi="Arial" w:cs="Arial"/>
        </w:rPr>
      </w:pPr>
      <w:r w:rsidRPr="00586A90">
        <w:rPr>
          <w:rFonts w:ascii="Arial" w:hAnsi="Arial" w:cs="Arial"/>
          <w:b/>
          <w:bCs/>
        </w:rPr>
        <w:t>Locomotor activity.</w:t>
      </w:r>
      <w:r w:rsidRPr="00586A90">
        <w:rPr>
          <w:rFonts w:ascii="Arial" w:hAnsi="Arial" w:cs="Arial"/>
        </w:rPr>
        <w:t xml:space="preserve"> Exploratory locomotor activity is measured in open field. Infrared beams and detectors automatically record horizontal activity and rearing in the open field. Habituation and sensitization of locomotor activity, repetitive movements, and other behaviors are also measured. In addition, the task provides measures of anxiety in response to a novel environment. </w:t>
      </w:r>
    </w:p>
    <w:p w14:paraId="3FD91182" w14:textId="77777777" w:rsidR="00086AB8" w:rsidRPr="00586A90" w:rsidRDefault="00086AB8" w:rsidP="00086AB8">
      <w:pPr>
        <w:jc w:val="both"/>
        <w:rPr>
          <w:rFonts w:ascii="Arial" w:hAnsi="Arial" w:cs="Arial"/>
        </w:rPr>
      </w:pPr>
      <w:r w:rsidRPr="00586A90">
        <w:rPr>
          <w:rFonts w:ascii="Arial" w:hAnsi="Arial" w:cs="Arial"/>
          <w:b/>
        </w:rPr>
        <w:t>Equipment:</w:t>
      </w:r>
      <w:r w:rsidRPr="00586A90">
        <w:rPr>
          <w:rFonts w:ascii="Arial" w:hAnsi="Arial" w:cs="Arial"/>
        </w:rPr>
        <w:t xml:space="preserve"> </w:t>
      </w:r>
    </w:p>
    <w:p w14:paraId="05818764" w14:textId="77777777" w:rsidR="00086AB8" w:rsidRPr="00586A90" w:rsidRDefault="00086AB8" w:rsidP="00086AB8">
      <w:pPr>
        <w:numPr>
          <w:ilvl w:val="0"/>
          <w:numId w:val="7"/>
        </w:numPr>
        <w:spacing w:after="0" w:line="240" w:lineRule="auto"/>
        <w:jc w:val="both"/>
        <w:rPr>
          <w:rFonts w:ascii="Arial" w:hAnsi="Arial" w:cs="Arial"/>
          <w:b/>
        </w:rPr>
      </w:pPr>
      <w:r w:rsidRPr="00586A90">
        <w:rPr>
          <w:rFonts w:ascii="Arial" w:hAnsi="Arial" w:cs="Arial"/>
          <w:b/>
        </w:rPr>
        <w:t xml:space="preserve">Med Associates activity monitors; </w:t>
      </w:r>
      <w:r w:rsidRPr="00586A90">
        <w:rPr>
          <w:rFonts w:ascii="Arial" w:hAnsi="Arial" w:cs="Arial"/>
        </w:rPr>
        <w:t>8 chambers each in normal and reverse light cycle rooms with computer workstation and analysis software.</w:t>
      </w:r>
    </w:p>
    <w:p w14:paraId="5533AEAA" w14:textId="77777777" w:rsidR="00086AB8" w:rsidRPr="00586A90" w:rsidRDefault="00086AB8" w:rsidP="00086AB8">
      <w:pPr>
        <w:pStyle w:val="ListParagraph"/>
        <w:widowControl w:val="0"/>
        <w:numPr>
          <w:ilvl w:val="0"/>
          <w:numId w:val="7"/>
        </w:numPr>
        <w:autoSpaceDE w:val="0"/>
        <w:autoSpaceDN w:val="0"/>
        <w:adjustRightInd w:val="0"/>
        <w:spacing w:after="0" w:line="240" w:lineRule="auto"/>
        <w:jc w:val="both"/>
        <w:rPr>
          <w:rFonts w:ascii="Arial" w:hAnsi="Arial" w:cs="Arial"/>
          <w:b/>
        </w:rPr>
      </w:pPr>
      <w:r w:rsidRPr="00586A90">
        <w:rPr>
          <w:rFonts w:ascii="Arial" w:hAnsi="Arial" w:cs="Arial"/>
          <w:b/>
        </w:rPr>
        <w:t xml:space="preserve">Med Associates activity monitors; </w:t>
      </w:r>
      <w:r w:rsidRPr="00586A90">
        <w:rPr>
          <w:rFonts w:ascii="Arial" w:hAnsi="Arial" w:cs="Arial"/>
        </w:rPr>
        <w:t xml:space="preserve">4 chambers equipped with </w:t>
      </w:r>
      <w:r w:rsidRPr="00586A90">
        <w:rPr>
          <w:rFonts w:ascii="Arial" w:hAnsi="Arial" w:cs="Arial"/>
          <w:bCs/>
        </w:rPr>
        <w:t>counter-balanced lever arm</w:t>
      </w:r>
      <w:r w:rsidRPr="00586A90">
        <w:rPr>
          <w:rFonts w:ascii="Arial" w:hAnsi="Arial" w:cs="Arial"/>
        </w:rPr>
        <w:t xml:space="preserve"> with tethers for concurrent open field activity and </w:t>
      </w:r>
      <w:r w:rsidRPr="00586A90">
        <w:rPr>
          <w:rFonts w:ascii="Arial" w:hAnsi="Arial" w:cs="Arial"/>
          <w:i/>
        </w:rPr>
        <w:t>in vivo</w:t>
      </w:r>
      <w:r w:rsidRPr="00586A90">
        <w:rPr>
          <w:rFonts w:ascii="Arial" w:hAnsi="Arial" w:cs="Arial"/>
        </w:rPr>
        <w:t xml:space="preserve"> </w:t>
      </w:r>
      <w:proofErr w:type="spellStart"/>
      <w:r w:rsidRPr="00586A90">
        <w:rPr>
          <w:rFonts w:ascii="Arial" w:hAnsi="Arial" w:cs="Arial"/>
        </w:rPr>
        <w:t>microdialysis</w:t>
      </w:r>
      <w:proofErr w:type="spellEnd"/>
      <w:r w:rsidRPr="00586A90">
        <w:rPr>
          <w:rFonts w:ascii="Arial" w:hAnsi="Arial" w:cs="Arial"/>
        </w:rPr>
        <w:t xml:space="preserve"> in awake, freely-moving mice.</w:t>
      </w:r>
    </w:p>
    <w:p w14:paraId="097F4C55" w14:textId="77777777" w:rsidR="00086AB8" w:rsidRDefault="00086AB8" w:rsidP="00086AB8">
      <w:pPr>
        <w:jc w:val="both"/>
        <w:rPr>
          <w:rFonts w:ascii="Arial" w:hAnsi="Arial" w:cs="Arial"/>
          <w:b/>
          <w:bCs/>
        </w:rPr>
      </w:pPr>
    </w:p>
    <w:p w14:paraId="73A010C6" w14:textId="77777777" w:rsidR="00086AB8" w:rsidRPr="00586A90" w:rsidRDefault="00086AB8" w:rsidP="00086AB8">
      <w:pPr>
        <w:jc w:val="both"/>
        <w:rPr>
          <w:rFonts w:ascii="Arial" w:hAnsi="Arial" w:cs="Arial"/>
          <w:bCs/>
        </w:rPr>
      </w:pPr>
      <w:r w:rsidRPr="00586A90">
        <w:rPr>
          <w:rFonts w:ascii="Arial" w:hAnsi="Arial" w:cs="Arial"/>
          <w:b/>
          <w:bCs/>
        </w:rPr>
        <w:t xml:space="preserve">Anxiety/Fear. </w:t>
      </w:r>
      <w:r w:rsidRPr="00586A90">
        <w:rPr>
          <w:rFonts w:ascii="Arial" w:hAnsi="Arial" w:cs="Arial"/>
          <w:bCs/>
        </w:rPr>
        <w:t>The light/dark exploration, elevated plus maze and marble burying tests of anxiety are available. In addition, measures of anxiety can be derived from the open field test, as described above. Conditioned freezing measures a state of fear/anxiety in response to threatening stimuli.</w:t>
      </w:r>
    </w:p>
    <w:p w14:paraId="5EB06919" w14:textId="77777777" w:rsidR="00086AB8" w:rsidRPr="00586A90" w:rsidRDefault="00086AB8" w:rsidP="00086AB8">
      <w:pPr>
        <w:jc w:val="both"/>
        <w:rPr>
          <w:rFonts w:ascii="Arial" w:hAnsi="Arial" w:cs="Arial"/>
        </w:rPr>
      </w:pPr>
      <w:r w:rsidRPr="00586A90">
        <w:rPr>
          <w:rFonts w:ascii="Arial" w:hAnsi="Arial" w:cs="Arial"/>
          <w:b/>
        </w:rPr>
        <w:t>Equipment:</w:t>
      </w:r>
      <w:r w:rsidRPr="00586A90">
        <w:rPr>
          <w:rFonts w:ascii="Arial" w:hAnsi="Arial" w:cs="Arial"/>
        </w:rPr>
        <w:t xml:space="preserve"> </w:t>
      </w:r>
    </w:p>
    <w:p w14:paraId="30BCD6F3" w14:textId="77777777" w:rsidR="00086AB8" w:rsidRPr="00586A90" w:rsidRDefault="00086AB8" w:rsidP="00086AB8">
      <w:pPr>
        <w:pStyle w:val="ListParagraph"/>
        <w:widowControl w:val="0"/>
        <w:numPr>
          <w:ilvl w:val="0"/>
          <w:numId w:val="5"/>
        </w:numPr>
        <w:autoSpaceDE w:val="0"/>
        <w:autoSpaceDN w:val="0"/>
        <w:adjustRightInd w:val="0"/>
        <w:spacing w:after="0" w:line="240" w:lineRule="auto"/>
        <w:jc w:val="both"/>
        <w:rPr>
          <w:rFonts w:ascii="Arial" w:hAnsi="Arial" w:cs="Arial"/>
          <w:b/>
          <w:bCs/>
        </w:rPr>
      </w:pPr>
      <w:r w:rsidRPr="00586A90">
        <w:rPr>
          <w:rFonts w:ascii="Arial" w:hAnsi="Arial" w:cs="Arial"/>
          <w:b/>
        </w:rPr>
        <w:t xml:space="preserve">Med Associates activity monitors with light/dark inserts; </w:t>
      </w:r>
      <w:r w:rsidRPr="00586A90">
        <w:rPr>
          <w:rFonts w:ascii="Arial" w:hAnsi="Arial" w:cs="Arial"/>
        </w:rPr>
        <w:t>8 testing chambers each in normal and reverse light cycle rooms.</w:t>
      </w:r>
    </w:p>
    <w:p w14:paraId="578EED36" w14:textId="77777777" w:rsidR="00086AB8" w:rsidRPr="00586A90" w:rsidRDefault="00086AB8" w:rsidP="00086AB8">
      <w:pPr>
        <w:pStyle w:val="ListParagraph"/>
        <w:widowControl w:val="0"/>
        <w:numPr>
          <w:ilvl w:val="0"/>
          <w:numId w:val="5"/>
        </w:numPr>
        <w:autoSpaceDE w:val="0"/>
        <w:autoSpaceDN w:val="0"/>
        <w:adjustRightInd w:val="0"/>
        <w:spacing w:after="0" w:line="240" w:lineRule="auto"/>
        <w:jc w:val="both"/>
        <w:rPr>
          <w:rFonts w:ascii="Arial" w:hAnsi="Arial" w:cs="Arial"/>
          <w:bCs/>
        </w:rPr>
      </w:pPr>
      <w:r w:rsidRPr="00586A90">
        <w:rPr>
          <w:rFonts w:ascii="Arial" w:hAnsi="Arial" w:cs="Arial"/>
          <w:b/>
        </w:rPr>
        <w:t xml:space="preserve"> </w:t>
      </w:r>
      <w:r w:rsidRPr="00586A90">
        <w:rPr>
          <w:rFonts w:ascii="Arial" w:hAnsi="Arial" w:cs="Arial"/>
          <w:b/>
          <w:bCs/>
        </w:rPr>
        <w:t xml:space="preserve">Elevated plus maze. </w:t>
      </w:r>
      <w:r w:rsidRPr="00586A90">
        <w:rPr>
          <w:rFonts w:ascii="Arial" w:hAnsi="Arial" w:cs="Arial"/>
          <w:bCs/>
        </w:rPr>
        <w:t xml:space="preserve">There is a ceiling-mounted video camera for video recording and tracking/analysis with </w:t>
      </w:r>
      <w:proofErr w:type="spellStart"/>
      <w:r w:rsidRPr="00586A90">
        <w:rPr>
          <w:rFonts w:ascii="Arial" w:hAnsi="Arial" w:cs="Arial"/>
          <w:bCs/>
        </w:rPr>
        <w:t>Noldus</w:t>
      </w:r>
      <w:proofErr w:type="spellEnd"/>
      <w:r w:rsidRPr="00586A90">
        <w:rPr>
          <w:rFonts w:ascii="Arial" w:hAnsi="Arial" w:cs="Arial"/>
          <w:bCs/>
        </w:rPr>
        <w:t xml:space="preserve"> </w:t>
      </w:r>
      <w:proofErr w:type="spellStart"/>
      <w:r w:rsidRPr="00586A90">
        <w:rPr>
          <w:rFonts w:ascii="Arial" w:hAnsi="Arial" w:cs="Arial"/>
          <w:bCs/>
        </w:rPr>
        <w:t>Ethovision</w:t>
      </w:r>
      <w:proofErr w:type="spellEnd"/>
      <w:r w:rsidRPr="00586A90">
        <w:rPr>
          <w:rFonts w:ascii="Arial" w:hAnsi="Arial" w:cs="Arial"/>
          <w:bCs/>
        </w:rPr>
        <w:t xml:space="preserve"> software on a designated computer workstation.</w:t>
      </w:r>
    </w:p>
    <w:p w14:paraId="212F0EA8" w14:textId="77777777" w:rsidR="00086AB8" w:rsidRPr="00586A90" w:rsidRDefault="00086AB8" w:rsidP="00086AB8">
      <w:pPr>
        <w:pStyle w:val="ListParagraph"/>
        <w:widowControl w:val="0"/>
        <w:numPr>
          <w:ilvl w:val="0"/>
          <w:numId w:val="5"/>
        </w:numPr>
        <w:autoSpaceDE w:val="0"/>
        <w:autoSpaceDN w:val="0"/>
        <w:adjustRightInd w:val="0"/>
        <w:spacing w:after="0" w:line="240" w:lineRule="auto"/>
        <w:jc w:val="both"/>
        <w:rPr>
          <w:rFonts w:ascii="Arial" w:hAnsi="Arial" w:cs="Arial"/>
          <w:b/>
        </w:rPr>
      </w:pPr>
      <w:r w:rsidRPr="00586A90">
        <w:rPr>
          <w:rFonts w:ascii="Arial" w:hAnsi="Arial" w:cs="Arial"/>
          <w:b/>
          <w:bCs/>
        </w:rPr>
        <w:t>Med Associates video fear conditioning</w:t>
      </w:r>
      <w:r w:rsidRPr="00586A90">
        <w:rPr>
          <w:rFonts w:ascii="Arial" w:hAnsi="Arial" w:cs="Arial"/>
          <w:b/>
        </w:rPr>
        <w:t xml:space="preserve">. </w:t>
      </w:r>
      <w:r w:rsidRPr="00586A90">
        <w:rPr>
          <w:rFonts w:ascii="Arial" w:hAnsi="Arial" w:cs="Arial"/>
        </w:rPr>
        <w:t>4 chambers connected to computer with analysis software, all located in an acoustic sound booth.</w:t>
      </w:r>
    </w:p>
    <w:p w14:paraId="2551F4EF" w14:textId="77777777" w:rsidR="00086AB8" w:rsidRPr="00586A90" w:rsidRDefault="00086AB8" w:rsidP="00086AB8">
      <w:pPr>
        <w:pStyle w:val="ListParagraph"/>
        <w:widowControl w:val="0"/>
        <w:autoSpaceDE w:val="0"/>
        <w:autoSpaceDN w:val="0"/>
        <w:adjustRightInd w:val="0"/>
        <w:jc w:val="both"/>
        <w:rPr>
          <w:rFonts w:ascii="Arial" w:hAnsi="Arial" w:cs="Arial"/>
          <w:bCs/>
        </w:rPr>
      </w:pPr>
    </w:p>
    <w:p w14:paraId="542E4D9D" w14:textId="77777777" w:rsidR="00086AB8" w:rsidRPr="00586A90" w:rsidRDefault="00086AB8" w:rsidP="00086AB8">
      <w:pPr>
        <w:jc w:val="both"/>
        <w:rPr>
          <w:rFonts w:ascii="Arial" w:hAnsi="Arial" w:cs="Arial"/>
        </w:rPr>
      </w:pPr>
      <w:r w:rsidRPr="00586A90">
        <w:rPr>
          <w:rFonts w:ascii="Arial" w:hAnsi="Arial" w:cs="Arial"/>
          <w:b/>
          <w:bCs/>
        </w:rPr>
        <w:t>Depression-related behaviors.</w:t>
      </w:r>
      <w:r w:rsidRPr="00586A90">
        <w:rPr>
          <w:rFonts w:ascii="Arial" w:hAnsi="Arial" w:cs="Arial"/>
        </w:rPr>
        <w:t xml:space="preserve"> The </w:t>
      </w:r>
      <w:proofErr w:type="spellStart"/>
      <w:r w:rsidRPr="00586A90">
        <w:rPr>
          <w:rFonts w:ascii="Arial" w:hAnsi="Arial" w:cs="Arial"/>
        </w:rPr>
        <w:t>Porsolt</w:t>
      </w:r>
      <w:proofErr w:type="spellEnd"/>
      <w:r w:rsidRPr="00586A90">
        <w:rPr>
          <w:rFonts w:ascii="Arial" w:hAnsi="Arial" w:cs="Arial"/>
        </w:rPr>
        <w:t xml:space="preserve"> forced swim test and tail suspension test are available. These tests have predictive validity for drugs with antidepressant efficacy. </w:t>
      </w:r>
    </w:p>
    <w:p w14:paraId="0F64633E" w14:textId="77777777" w:rsidR="00086AB8" w:rsidRPr="00586A90" w:rsidRDefault="00086AB8" w:rsidP="00086AB8">
      <w:pPr>
        <w:jc w:val="both"/>
        <w:rPr>
          <w:rFonts w:ascii="Arial" w:hAnsi="Arial" w:cs="Arial"/>
        </w:rPr>
      </w:pPr>
      <w:r w:rsidRPr="00586A90">
        <w:rPr>
          <w:rFonts w:ascii="Arial" w:hAnsi="Arial" w:cs="Arial"/>
          <w:b/>
        </w:rPr>
        <w:t>Equipment:</w:t>
      </w:r>
    </w:p>
    <w:p w14:paraId="194007E2" w14:textId="77777777" w:rsidR="00086AB8" w:rsidRPr="00586A90" w:rsidRDefault="00086AB8" w:rsidP="00086AB8">
      <w:pPr>
        <w:pStyle w:val="ListParagraph"/>
        <w:numPr>
          <w:ilvl w:val="0"/>
          <w:numId w:val="6"/>
        </w:numPr>
        <w:spacing w:after="0" w:line="240" w:lineRule="auto"/>
        <w:jc w:val="both"/>
        <w:rPr>
          <w:rFonts w:ascii="Arial" w:hAnsi="Arial" w:cs="Arial"/>
        </w:rPr>
      </w:pPr>
      <w:r w:rsidRPr="00586A90">
        <w:rPr>
          <w:rFonts w:ascii="Arial" w:hAnsi="Arial" w:cs="Arial"/>
          <w:b/>
        </w:rPr>
        <w:t>Med Associates tail suspension</w:t>
      </w:r>
      <w:r w:rsidRPr="00586A90">
        <w:rPr>
          <w:rFonts w:ascii="Arial" w:hAnsi="Arial" w:cs="Arial"/>
        </w:rPr>
        <w:t xml:space="preserve">, 4 units with computer workstation and analysis software. </w:t>
      </w:r>
    </w:p>
    <w:p w14:paraId="487B3215" w14:textId="77777777" w:rsidR="00086AB8" w:rsidRPr="00586A90" w:rsidRDefault="00086AB8" w:rsidP="00086AB8">
      <w:pPr>
        <w:pStyle w:val="ListParagraph"/>
        <w:widowControl w:val="0"/>
        <w:numPr>
          <w:ilvl w:val="0"/>
          <w:numId w:val="6"/>
        </w:numPr>
        <w:autoSpaceDE w:val="0"/>
        <w:autoSpaceDN w:val="0"/>
        <w:adjustRightInd w:val="0"/>
        <w:spacing w:after="0" w:line="240" w:lineRule="auto"/>
        <w:jc w:val="both"/>
        <w:rPr>
          <w:rFonts w:ascii="Arial" w:hAnsi="Arial" w:cs="Arial"/>
        </w:rPr>
      </w:pPr>
      <w:r w:rsidRPr="00586A90">
        <w:rPr>
          <w:rFonts w:ascii="Arial" w:hAnsi="Arial" w:cs="Arial"/>
          <w:b/>
        </w:rPr>
        <w:t xml:space="preserve">Forced swim test. </w:t>
      </w:r>
      <w:r w:rsidRPr="00586A90">
        <w:rPr>
          <w:rFonts w:ascii="Arial" w:hAnsi="Arial" w:cs="Arial"/>
          <w:bCs/>
        </w:rPr>
        <w:t xml:space="preserve">There is a video camera for ceiling- or side-mounted video recording and tracking/analysis with </w:t>
      </w:r>
      <w:proofErr w:type="spellStart"/>
      <w:r w:rsidRPr="00586A90">
        <w:rPr>
          <w:rFonts w:ascii="Arial" w:hAnsi="Arial" w:cs="Arial"/>
          <w:bCs/>
        </w:rPr>
        <w:t>Noldus</w:t>
      </w:r>
      <w:proofErr w:type="spellEnd"/>
      <w:r w:rsidRPr="00586A90">
        <w:rPr>
          <w:rFonts w:ascii="Arial" w:hAnsi="Arial" w:cs="Arial"/>
          <w:bCs/>
        </w:rPr>
        <w:t xml:space="preserve"> </w:t>
      </w:r>
      <w:proofErr w:type="spellStart"/>
      <w:r w:rsidRPr="00586A90">
        <w:rPr>
          <w:rFonts w:ascii="Arial" w:hAnsi="Arial" w:cs="Arial"/>
          <w:bCs/>
        </w:rPr>
        <w:t>Ethovision</w:t>
      </w:r>
      <w:proofErr w:type="spellEnd"/>
      <w:r w:rsidRPr="00586A90">
        <w:rPr>
          <w:rFonts w:ascii="Arial" w:hAnsi="Arial" w:cs="Arial"/>
          <w:bCs/>
        </w:rPr>
        <w:t xml:space="preserve"> software on a designated computer workstation.</w:t>
      </w:r>
    </w:p>
    <w:p w14:paraId="393D2652" w14:textId="77777777" w:rsidR="00086AB8" w:rsidRPr="00586A90" w:rsidRDefault="00086AB8" w:rsidP="00086AB8">
      <w:pPr>
        <w:pStyle w:val="ListParagraph"/>
        <w:widowControl w:val="0"/>
        <w:autoSpaceDE w:val="0"/>
        <w:autoSpaceDN w:val="0"/>
        <w:adjustRightInd w:val="0"/>
        <w:jc w:val="both"/>
        <w:rPr>
          <w:rFonts w:ascii="Arial" w:hAnsi="Arial" w:cs="Arial"/>
        </w:rPr>
      </w:pPr>
    </w:p>
    <w:p w14:paraId="79F3F7B2" w14:textId="77777777" w:rsidR="00086AB8" w:rsidRPr="00586A90" w:rsidRDefault="00086AB8" w:rsidP="00086AB8">
      <w:pPr>
        <w:jc w:val="both"/>
        <w:rPr>
          <w:rFonts w:ascii="Arial" w:hAnsi="Arial" w:cs="Arial"/>
        </w:rPr>
      </w:pPr>
      <w:r w:rsidRPr="00586A90">
        <w:rPr>
          <w:rFonts w:ascii="Arial" w:hAnsi="Arial" w:cs="Arial"/>
          <w:b/>
          <w:bCs/>
        </w:rPr>
        <w:t xml:space="preserve">Cognition. </w:t>
      </w:r>
      <w:r w:rsidRPr="00586A90">
        <w:rPr>
          <w:rFonts w:ascii="Arial" w:hAnsi="Arial" w:cs="Arial"/>
        </w:rPr>
        <w:t>Tests of learning and memory tests include Morris water maze, conditioned freezing, object and odor recognition, and Y-maze. Reward-based learning, such as 5-choice serial reaction time task, Go/No go task, and progressive and fixed ratio reward schedule tasks can be assessed in nose-poke and touchscreen operant chambers. These tests also provide measures of impulsivity and motor response inhibition. Additional tests may be designed.</w:t>
      </w:r>
    </w:p>
    <w:p w14:paraId="1F7254B0" w14:textId="77777777" w:rsidR="00086AB8" w:rsidRPr="00586A90" w:rsidRDefault="00086AB8" w:rsidP="00086AB8">
      <w:pPr>
        <w:jc w:val="both"/>
        <w:rPr>
          <w:rFonts w:ascii="Arial" w:hAnsi="Arial" w:cs="Arial"/>
          <w:b/>
        </w:rPr>
      </w:pPr>
      <w:r w:rsidRPr="00586A90">
        <w:rPr>
          <w:rFonts w:ascii="Arial" w:hAnsi="Arial" w:cs="Arial"/>
          <w:b/>
        </w:rPr>
        <w:t>Equipment:</w:t>
      </w:r>
    </w:p>
    <w:p w14:paraId="0027A282" w14:textId="77777777" w:rsidR="00086AB8" w:rsidRPr="00586A90" w:rsidRDefault="00086AB8" w:rsidP="00086AB8">
      <w:pPr>
        <w:pStyle w:val="ListParagraph"/>
        <w:widowControl w:val="0"/>
        <w:numPr>
          <w:ilvl w:val="0"/>
          <w:numId w:val="3"/>
        </w:numPr>
        <w:autoSpaceDE w:val="0"/>
        <w:autoSpaceDN w:val="0"/>
        <w:adjustRightInd w:val="0"/>
        <w:spacing w:after="0" w:line="240" w:lineRule="auto"/>
        <w:jc w:val="both"/>
        <w:rPr>
          <w:rFonts w:ascii="Arial" w:hAnsi="Arial" w:cs="Arial"/>
        </w:rPr>
      </w:pPr>
      <w:r w:rsidRPr="00586A90">
        <w:rPr>
          <w:rFonts w:ascii="Arial" w:hAnsi="Arial" w:cs="Arial"/>
          <w:b/>
        </w:rPr>
        <w:t xml:space="preserve">Med Associates operant chambers </w:t>
      </w:r>
      <w:r w:rsidRPr="00586A90">
        <w:rPr>
          <w:rFonts w:ascii="Arial" w:hAnsi="Arial" w:cs="Arial"/>
        </w:rPr>
        <w:t>(6 chambers). These are nose-poke chambers with reward dispensers for use in a number of operant, rewarded tasks, Coupled with computer workstation and analysis software.</w:t>
      </w:r>
    </w:p>
    <w:p w14:paraId="0B91FC0B" w14:textId="77777777" w:rsidR="00086AB8" w:rsidRPr="00586A90" w:rsidRDefault="00086AB8" w:rsidP="00086AB8">
      <w:pPr>
        <w:pStyle w:val="ListParagraph"/>
        <w:widowControl w:val="0"/>
        <w:numPr>
          <w:ilvl w:val="0"/>
          <w:numId w:val="3"/>
        </w:numPr>
        <w:autoSpaceDE w:val="0"/>
        <w:autoSpaceDN w:val="0"/>
        <w:adjustRightInd w:val="0"/>
        <w:spacing w:after="0" w:line="240" w:lineRule="auto"/>
        <w:jc w:val="both"/>
        <w:rPr>
          <w:rFonts w:ascii="Arial" w:hAnsi="Arial" w:cs="Arial"/>
        </w:rPr>
      </w:pPr>
      <w:r w:rsidRPr="00586A90">
        <w:rPr>
          <w:rFonts w:ascii="Arial" w:hAnsi="Arial" w:cs="Arial"/>
          <w:b/>
        </w:rPr>
        <w:t>Lafayette touchscreen operant chambers</w:t>
      </w:r>
      <w:r w:rsidRPr="00586A90">
        <w:rPr>
          <w:rFonts w:ascii="Arial" w:hAnsi="Arial" w:cs="Arial"/>
        </w:rPr>
        <w:t xml:space="preserve"> (12 chambers). Touchscreen operant chambers with reward dispensers can be used for a number of reward-based operant conditioning tests, including 5-choice serial reaction time task and go/no-go task. Coupled with computer workstation and analysis software.</w:t>
      </w:r>
    </w:p>
    <w:p w14:paraId="7A7EE8EB" w14:textId="77777777" w:rsidR="00086AB8" w:rsidRPr="00586A90" w:rsidRDefault="00086AB8" w:rsidP="00086AB8">
      <w:pPr>
        <w:pStyle w:val="ListParagraph"/>
        <w:widowControl w:val="0"/>
        <w:numPr>
          <w:ilvl w:val="0"/>
          <w:numId w:val="3"/>
        </w:numPr>
        <w:autoSpaceDE w:val="0"/>
        <w:autoSpaceDN w:val="0"/>
        <w:adjustRightInd w:val="0"/>
        <w:spacing w:after="0" w:line="240" w:lineRule="auto"/>
        <w:jc w:val="both"/>
        <w:rPr>
          <w:rFonts w:ascii="Arial" w:hAnsi="Arial" w:cs="Arial"/>
        </w:rPr>
      </w:pPr>
      <w:r w:rsidRPr="00586A90">
        <w:rPr>
          <w:rFonts w:ascii="Arial" w:hAnsi="Arial" w:cs="Arial"/>
          <w:b/>
          <w:bCs/>
        </w:rPr>
        <w:t>Morris water maze</w:t>
      </w:r>
      <w:r w:rsidRPr="00586A90">
        <w:rPr>
          <w:rFonts w:ascii="Arial" w:hAnsi="Arial" w:cs="Arial"/>
        </w:rPr>
        <w:t xml:space="preserve">. Test spatial learning and memory. </w:t>
      </w:r>
      <w:r w:rsidRPr="00586A90">
        <w:rPr>
          <w:rFonts w:ascii="Arial" w:hAnsi="Arial" w:cs="Arial"/>
          <w:bCs/>
        </w:rPr>
        <w:t xml:space="preserve">There is a ceiling-mounted video camera for video recording and tracking/analysis with </w:t>
      </w:r>
      <w:proofErr w:type="spellStart"/>
      <w:r w:rsidRPr="00586A90">
        <w:rPr>
          <w:rFonts w:ascii="Arial" w:hAnsi="Arial" w:cs="Arial"/>
          <w:bCs/>
        </w:rPr>
        <w:t>Noldus</w:t>
      </w:r>
      <w:proofErr w:type="spellEnd"/>
      <w:r w:rsidRPr="00586A90">
        <w:rPr>
          <w:rFonts w:ascii="Arial" w:hAnsi="Arial" w:cs="Arial"/>
          <w:bCs/>
        </w:rPr>
        <w:t xml:space="preserve"> </w:t>
      </w:r>
      <w:proofErr w:type="spellStart"/>
      <w:r w:rsidRPr="00586A90">
        <w:rPr>
          <w:rFonts w:ascii="Arial" w:hAnsi="Arial" w:cs="Arial"/>
          <w:bCs/>
        </w:rPr>
        <w:t>Ethovision</w:t>
      </w:r>
      <w:proofErr w:type="spellEnd"/>
      <w:r w:rsidRPr="00586A90">
        <w:rPr>
          <w:rFonts w:ascii="Arial" w:hAnsi="Arial" w:cs="Arial"/>
          <w:bCs/>
        </w:rPr>
        <w:t xml:space="preserve"> software on a designated computer </w:t>
      </w:r>
      <w:r w:rsidRPr="00586A90">
        <w:rPr>
          <w:rFonts w:ascii="Arial" w:hAnsi="Arial" w:cs="Arial"/>
          <w:bCs/>
        </w:rPr>
        <w:lastRenderedPageBreak/>
        <w:t>workstation.</w:t>
      </w:r>
    </w:p>
    <w:p w14:paraId="71BA6D0E" w14:textId="77777777" w:rsidR="00086AB8" w:rsidRPr="00586A90" w:rsidRDefault="00086AB8" w:rsidP="00086AB8">
      <w:pPr>
        <w:pStyle w:val="ListParagraph"/>
        <w:widowControl w:val="0"/>
        <w:numPr>
          <w:ilvl w:val="0"/>
          <w:numId w:val="3"/>
        </w:numPr>
        <w:autoSpaceDE w:val="0"/>
        <w:autoSpaceDN w:val="0"/>
        <w:adjustRightInd w:val="0"/>
        <w:spacing w:after="0" w:line="240" w:lineRule="auto"/>
        <w:jc w:val="both"/>
        <w:rPr>
          <w:rFonts w:ascii="Arial" w:hAnsi="Arial" w:cs="Arial"/>
        </w:rPr>
      </w:pPr>
      <w:r w:rsidRPr="00586A90">
        <w:rPr>
          <w:rFonts w:ascii="Arial" w:hAnsi="Arial" w:cs="Arial"/>
          <w:b/>
          <w:bCs/>
        </w:rPr>
        <w:t>Med Associates video fear conditioning</w:t>
      </w:r>
      <w:r w:rsidRPr="00586A90">
        <w:rPr>
          <w:rFonts w:ascii="Arial" w:hAnsi="Arial" w:cs="Arial"/>
        </w:rPr>
        <w:t>, 4 chambers connected to computer with analysis software, all located in an acoustic sound booth.</w:t>
      </w:r>
    </w:p>
    <w:p w14:paraId="17F6A029" w14:textId="77777777" w:rsidR="00086AB8" w:rsidRPr="00586A90" w:rsidRDefault="00086AB8" w:rsidP="00086AB8">
      <w:pPr>
        <w:pStyle w:val="ListParagraph"/>
        <w:widowControl w:val="0"/>
        <w:numPr>
          <w:ilvl w:val="0"/>
          <w:numId w:val="3"/>
        </w:numPr>
        <w:autoSpaceDE w:val="0"/>
        <w:autoSpaceDN w:val="0"/>
        <w:adjustRightInd w:val="0"/>
        <w:spacing w:after="0" w:line="240" w:lineRule="auto"/>
        <w:jc w:val="both"/>
        <w:rPr>
          <w:rFonts w:ascii="Arial" w:hAnsi="Arial" w:cs="Arial"/>
        </w:rPr>
      </w:pPr>
      <w:r w:rsidRPr="00586A90">
        <w:rPr>
          <w:rFonts w:ascii="Arial" w:hAnsi="Arial" w:cs="Arial"/>
          <w:b/>
          <w:bCs/>
        </w:rPr>
        <w:t>Object and odor recognition</w:t>
      </w:r>
      <w:r w:rsidRPr="00586A90">
        <w:rPr>
          <w:rFonts w:ascii="Arial" w:hAnsi="Arial" w:cs="Arial"/>
        </w:rPr>
        <w:t xml:space="preserve">. Four high-walled square and 2 high-walled cylindrical open field arenas are available for these tasks. Two arenas can be used simultaneously for object and odor recognition. </w:t>
      </w:r>
      <w:r w:rsidRPr="00586A90">
        <w:rPr>
          <w:rFonts w:ascii="Arial" w:hAnsi="Arial" w:cs="Arial"/>
          <w:bCs/>
        </w:rPr>
        <w:t xml:space="preserve">There is a ceiling-mounted video camera for video recording and tracking/analysis with </w:t>
      </w:r>
      <w:proofErr w:type="spellStart"/>
      <w:r w:rsidRPr="00586A90">
        <w:rPr>
          <w:rFonts w:ascii="Arial" w:hAnsi="Arial" w:cs="Arial"/>
          <w:bCs/>
        </w:rPr>
        <w:t>Noldus</w:t>
      </w:r>
      <w:proofErr w:type="spellEnd"/>
      <w:r w:rsidRPr="00586A90">
        <w:rPr>
          <w:rFonts w:ascii="Arial" w:hAnsi="Arial" w:cs="Arial"/>
          <w:bCs/>
        </w:rPr>
        <w:t xml:space="preserve"> </w:t>
      </w:r>
      <w:proofErr w:type="spellStart"/>
      <w:r w:rsidRPr="00586A90">
        <w:rPr>
          <w:rFonts w:ascii="Arial" w:hAnsi="Arial" w:cs="Arial"/>
          <w:bCs/>
        </w:rPr>
        <w:t>Ethovision</w:t>
      </w:r>
      <w:proofErr w:type="spellEnd"/>
      <w:r w:rsidRPr="00586A90">
        <w:rPr>
          <w:rFonts w:ascii="Arial" w:hAnsi="Arial" w:cs="Arial"/>
          <w:bCs/>
        </w:rPr>
        <w:t xml:space="preserve"> software on a designated computer workstation.</w:t>
      </w:r>
    </w:p>
    <w:p w14:paraId="6B6AF1ED" w14:textId="77777777" w:rsidR="00086AB8" w:rsidRPr="00586A90" w:rsidRDefault="00086AB8" w:rsidP="00086AB8">
      <w:pPr>
        <w:pStyle w:val="ListParagraph"/>
        <w:widowControl w:val="0"/>
        <w:numPr>
          <w:ilvl w:val="0"/>
          <w:numId w:val="3"/>
        </w:numPr>
        <w:autoSpaceDE w:val="0"/>
        <w:autoSpaceDN w:val="0"/>
        <w:adjustRightInd w:val="0"/>
        <w:spacing w:after="0" w:line="240" w:lineRule="auto"/>
        <w:jc w:val="both"/>
        <w:rPr>
          <w:rFonts w:ascii="Arial" w:hAnsi="Arial" w:cs="Arial"/>
          <w:bCs/>
        </w:rPr>
      </w:pPr>
      <w:r w:rsidRPr="00586A90">
        <w:rPr>
          <w:rFonts w:ascii="Arial" w:hAnsi="Arial" w:cs="Arial"/>
          <w:b/>
          <w:bCs/>
        </w:rPr>
        <w:t xml:space="preserve">Y-maze. </w:t>
      </w:r>
      <w:r w:rsidRPr="00586A90">
        <w:rPr>
          <w:rFonts w:ascii="Arial" w:hAnsi="Arial" w:cs="Arial"/>
          <w:bCs/>
        </w:rPr>
        <w:t xml:space="preserve">There is a ceiling-mounted video camera for video recording and tracking/analysis with </w:t>
      </w:r>
      <w:proofErr w:type="spellStart"/>
      <w:r w:rsidRPr="00586A90">
        <w:rPr>
          <w:rFonts w:ascii="Arial" w:hAnsi="Arial" w:cs="Arial"/>
          <w:bCs/>
        </w:rPr>
        <w:t>Noldus</w:t>
      </w:r>
      <w:proofErr w:type="spellEnd"/>
      <w:r w:rsidRPr="00586A90">
        <w:rPr>
          <w:rFonts w:ascii="Arial" w:hAnsi="Arial" w:cs="Arial"/>
          <w:bCs/>
        </w:rPr>
        <w:t xml:space="preserve"> </w:t>
      </w:r>
      <w:proofErr w:type="spellStart"/>
      <w:r w:rsidRPr="00586A90">
        <w:rPr>
          <w:rFonts w:ascii="Arial" w:hAnsi="Arial" w:cs="Arial"/>
          <w:bCs/>
        </w:rPr>
        <w:t>Ethovision</w:t>
      </w:r>
      <w:proofErr w:type="spellEnd"/>
      <w:r w:rsidRPr="00586A90">
        <w:rPr>
          <w:rFonts w:ascii="Arial" w:hAnsi="Arial" w:cs="Arial"/>
          <w:bCs/>
        </w:rPr>
        <w:t xml:space="preserve"> software on a designated computer workstation.</w:t>
      </w:r>
    </w:p>
    <w:p w14:paraId="3A63B220" w14:textId="77777777" w:rsidR="00086AB8" w:rsidRDefault="00086AB8" w:rsidP="00086AB8">
      <w:pPr>
        <w:jc w:val="both"/>
        <w:rPr>
          <w:rFonts w:ascii="Arial" w:hAnsi="Arial" w:cs="Arial"/>
          <w:b/>
          <w:bCs/>
        </w:rPr>
      </w:pPr>
    </w:p>
    <w:p w14:paraId="0FF85C06" w14:textId="4DE08BE5" w:rsidR="00086AB8" w:rsidRPr="00586A90" w:rsidRDefault="00086AB8" w:rsidP="00086AB8">
      <w:pPr>
        <w:jc w:val="both"/>
        <w:rPr>
          <w:rFonts w:ascii="Arial" w:hAnsi="Arial" w:cs="Arial"/>
        </w:rPr>
      </w:pPr>
      <w:r w:rsidRPr="00586A90">
        <w:rPr>
          <w:rFonts w:ascii="Arial" w:hAnsi="Arial" w:cs="Arial"/>
          <w:b/>
          <w:bCs/>
        </w:rPr>
        <w:t>Social behavior.</w:t>
      </w:r>
      <w:r w:rsidRPr="00586A90">
        <w:rPr>
          <w:rFonts w:ascii="Arial" w:hAnsi="Arial" w:cs="Arial"/>
        </w:rPr>
        <w:t xml:space="preserve"> Three-chamber social interaction test and the tube test for social dominance are available</w:t>
      </w:r>
      <w:r>
        <w:rPr>
          <w:rFonts w:ascii="Arial" w:hAnsi="Arial" w:cs="Arial"/>
        </w:rPr>
        <w:t>.</w:t>
      </w:r>
      <w:r w:rsidRPr="00586A90">
        <w:rPr>
          <w:rFonts w:ascii="Arial" w:hAnsi="Arial" w:cs="Arial"/>
        </w:rPr>
        <w:t xml:space="preserve"> An incubator for maternal separation is available.</w:t>
      </w:r>
    </w:p>
    <w:p w14:paraId="45EEFEFD" w14:textId="77777777" w:rsidR="00086AB8" w:rsidRPr="00586A90" w:rsidRDefault="00086AB8" w:rsidP="00086AB8">
      <w:pPr>
        <w:jc w:val="both"/>
        <w:rPr>
          <w:rFonts w:ascii="Arial" w:hAnsi="Arial" w:cs="Arial"/>
          <w:b/>
        </w:rPr>
      </w:pPr>
      <w:r w:rsidRPr="00586A90">
        <w:rPr>
          <w:rFonts w:ascii="Arial" w:hAnsi="Arial" w:cs="Arial"/>
          <w:b/>
        </w:rPr>
        <w:t>Equipment:</w:t>
      </w:r>
    </w:p>
    <w:p w14:paraId="7CB8FB36" w14:textId="77777777" w:rsidR="00086AB8" w:rsidRPr="00586A90" w:rsidRDefault="00086AB8" w:rsidP="00086AB8">
      <w:pPr>
        <w:pStyle w:val="ListParagraph"/>
        <w:widowControl w:val="0"/>
        <w:numPr>
          <w:ilvl w:val="0"/>
          <w:numId w:val="4"/>
        </w:numPr>
        <w:autoSpaceDE w:val="0"/>
        <w:autoSpaceDN w:val="0"/>
        <w:adjustRightInd w:val="0"/>
        <w:spacing w:after="0" w:line="240" w:lineRule="auto"/>
        <w:jc w:val="both"/>
        <w:rPr>
          <w:rFonts w:ascii="Arial" w:hAnsi="Arial" w:cs="Arial"/>
          <w:b/>
        </w:rPr>
      </w:pPr>
      <w:r w:rsidRPr="00586A90">
        <w:rPr>
          <w:rFonts w:ascii="Arial" w:hAnsi="Arial" w:cs="Arial"/>
          <w:b/>
        </w:rPr>
        <w:t xml:space="preserve">Incubator. </w:t>
      </w:r>
      <w:r w:rsidRPr="00586A90">
        <w:rPr>
          <w:rFonts w:ascii="Arial" w:hAnsi="Arial" w:cs="Arial"/>
        </w:rPr>
        <w:t>Thermostat controlled and includes temperature chart recorder.</w:t>
      </w:r>
      <w:r w:rsidRPr="00586A90">
        <w:rPr>
          <w:rFonts w:ascii="Arial" w:hAnsi="Arial" w:cs="Arial"/>
          <w:b/>
        </w:rPr>
        <w:t xml:space="preserve"> </w:t>
      </w:r>
      <w:r w:rsidRPr="00586A90">
        <w:rPr>
          <w:rFonts w:ascii="Arial" w:hAnsi="Arial" w:cs="Arial"/>
        </w:rPr>
        <w:t>Available for maternal separation studies.</w:t>
      </w:r>
    </w:p>
    <w:p w14:paraId="5F8A3582" w14:textId="77777777" w:rsidR="00086AB8" w:rsidRPr="00586A90" w:rsidRDefault="00086AB8" w:rsidP="00086AB8">
      <w:pPr>
        <w:pStyle w:val="ListParagraph"/>
        <w:widowControl w:val="0"/>
        <w:numPr>
          <w:ilvl w:val="0"/>
          <w:numId w:val="4"/>
        </w:numPr>
        <w:autoSpaceDE w:val="0"/>
        <w:autoSpaceDN w:val="0"/>
        <w:adjustRightInd w:val="0"/>
        <w:spacing w:after="0" w:line="240" w:lineRule="auto"/>
        <w:jc w:val="both"/>
        <w:rPr>
          <w:rFonts w:ascii="Arial" w:hAnsi="Arial" w:cs="Arial"/>
          <w:b/>
        </w:rPr>
      </w:pPr>
      <w:r w:rsidRPr="00586A90">
        <w:rPr>
          <w:rFonts w:ascii="Arial" w:hAnsi="Arial" w:cs="Arial"/>
          <w:b/>
        </w:rPr>
        <w:t xml:space="preserve">Three-chamber social interaction. </w:t>
      </w:r>
      <w:r w:rsidRPr="00586A90">
        <w:rPr>
          <w:rFonts w:ascii="Arial" w:hAnsi="Arial" w:cs="Arial"/>
        </w:rPr>
        <w:t xml:space="preserve">Two chambers are available for use </w:t>
      </w:r>
      <w:r w:rsidRPr="00586A90">
        <w:rPr>
          <w:rFonts w:ascii="Arial" w:hAnsi="Arial" w:cs="Arial"/>
          <w:bCs/>
        </w:rPr>
        <w:t xml:space="preserve">with video recording and tracking/analysis with </w:t>
      </w:r>
      <w:proofErr w:type="spellStart"/>
      <w:r w:rsidRPr="00586A90">
        <w:rPr>
          <w:rFonts w:ascii="Arial" w:hAnsi="Arial" w:cs="Arial"/>
          <w:bCs/>
        </w:rPr>
        <w:t>Noldus</w:t>
      </w:r>
      <w:proofErr w:type="spellEnd"/>
      <w:r w:rsidRPr="00586A90">
        <w:rPr>
          <w:rFonts w:ascii="Arial" w:hAnsi="Arial" w:cs="Arial"/>
          <w:bCs/>
        </w:rPr>
        <w:t xml:space="preserve"> </w:t>
      </w:r>
      <w:proofErr w:type="spellStart"/>
      <w:r w:rsidRPr="00586A90">
        <w:rPr>
          <w:rFonts w:ascii="Arial" w:hAnsi="Arial" w:cs="Arial"/>
          <w:bCs/>
        </w:rPr>
        <w:t>Ethovision</w:t>
      </w:r>
      <w:proofErr w:type="spellEnd"/>
      <w:r w:rsidRPr="00586A90">
        <w:rPr>
          <w:rFonts w:ascii="Arial" w:hAnsi="Arial" w:cs="Arial"/>
          <w:bCs/>
        </w:rPr>
        <w:t xml:space="preserve"> software.</w:t>
      </w:r>
    </w:p>
    <w:p w14:paraId="5433B5D6" w14:textId="77777777" w:rsidR="00086AB8" w:rsidRPr="00586A90" w:rsidRDefault="00086AB8" w:rsidP="00086AB8">
      <w:pPr>
        <w:pStyle w:val="ListParagraph"/>
        <w:widowControl w:val="0"/>
        <w:numPr>
          <w:ilvl w:val="0"/>
          <w:numId w:val="4"/>
        </w:numPr>
        <w:autoSpaceDE w:val="0"/>
        <w:autoSpaceDN w:val="0"/>
        <w:adjustRightInd w:val="0"/>
        <w:spacing w:after="0" w:line="240" w:lineRule="auto"/>
        <w:jc w:val="both"/>
        <w:rPr>
          <w:rFonts w:ascii="Arial" w:hAnsi="Arial" w:cs="Arial"/>
          <w:b/>
        </w:rPr>
      </w:pPr>
      <w:r w:rsidRPr="00586A90">
        <w:rPr>
          <w:rFonts w:ascii="Arial" w:hAnsi="Arial" w:cs="Arial"/>
          <w:b/>
        </w:rPr>
        <w:t xml:space="preserve">Tube test. </w:t>
      </w:r>
      <w:r w:rsidRPr="00586A90">
        <w:rPr>
          <w:rFonts w:ascii="Arial" w:hAnsi="Arial" w:cs="Arial"/>
        </w:rPr>
        <w:t>Four tube test apparatuses are available, two with modification for use with concurrent optogenetics.</w:t>
      </w:r>
    </w:p>
    <w:p w14:paraId="5ED3A503" w14:textId="77777777" w:rsidR="00086AB8" w:rsidRPr="00586A90" w:rsidRDefault="00086AB8" w:rsidP="00086AB8">
      <w:pPr>
        <w:jc w:val="both"/>
        <w:rPr>
          <w:rFonts w:ascii="Arial" w:hAnsi="Arial" w:cs="Arial"/>
        </w:rPr>
      </w:pPr>
    </w:p>
    <w:p w14:paraId="786E4EDC" w14:textId="77777777" w:rsidR="00086AB8" w:rsidRPr="00586A90" w:rsidRDefault="00086AB8" w:rsidP="00086AB8">
      <w:pPr>
        <w:jc w:val="both"/>
        <w:rPr>
          <w:rFonts w:ascii="Arial" w:hAnsi="Arial" w:cs="Arial"/>
        </w:rPr>
      </w:pPr>
      <w:r w:rsidRPr="00586A90">
        <w:rPr>
          <w:rFonts w:ascii="Arial" w:hAnsi="Arial" w:cs="Arial"/>
          <w:b/>
          <w:bCs/>
        </w:rPr>
        <w:t>Drug abuse</w:t>
      </w:r>
      <w:r w:rsidRPr="00586A90">
        <w:rPr>
          <w:rFonts w:ascii="Arial" w:hAnsi="Arial" w:cs="Arial"/>
        </w:rPr>
        <w:t>. Conditioned place preference is available to assess the reinforcing properties of drugs. Operant drug discrimination tests and the assessment of drug effects on schedule-controlled behavior are available.</w:t>
      </w:r>
    </w:p>
    <w:p w14:paraId="3AD447E8" w14:textId="77777777" w:rsidR="00086AB8" w:rsidRPr="00586A90" w:rsidRDefault="00086AB8" w:rsidP="00086AB8">
      <w:pPr>
        <w:jc w:val="both"/>
        <w:rPr>
          <w:rFonts w:ascii="Arial" w:hAnsi="Arial" w:cs="Arial"/>
          <w:b/>
        </w:rPr>
      </w:pPr>
      <w:r w:rsidRPr="00586A90">
        <w:rPr>
          <w:rFonts w:ascii="Arial" w:hAnsi="Arial" w:cs="Arial"/>
          <w:b/>
        </w:rPr>
        <w:t>Equipment:</w:t>
      </w:r>
    </w:p>
    <w:p w14:paraId="7CD75E07" w14:textId="77777777" w:rsidR="00086AB8" w:rsidRPr="00586A90" w:rsidRDefault="00086AB8" w:rsidP="00086AB8">
      <w:pPr>
        <w:pStyle w:val="ListParagraph"/>
        <w:numPr>
          <w:ilvl w:val="0"/>
          <w:numId w:val="5"/>
        </w:numPr>
        <w:spacing w:after="0" w:line="240" w:lineRule="auto"/>
        <w:jc w:val="both"/>
        <w:rPr>
          <w:rFonts w:ascii="Arial" w:hAnsi="Arial" w:cs="Arial"/>
        </w:rPr>
      </w:pPr>
      <w:r w:rsidRPr="00586A90">
        <w:rPr>
          <w:rFonts w:ascii="Arial" w:hAnsi="Arial" w:cs="Arial"/>
          <w:b/>
        </w:rPr>
        <w:t>Med Associates activity monitors with conditioned place preference inserts</w:t>
      </w:r>
      <w:r w:rsidRPr="00586A90">
        <w:rPr>
          <w:rFonts w:ascii="Arial" w:hAnsi="Arial" w:cs="Arial"/>
        </w:rPr>
        <w:t xml:space="preserve">; 8 testing chambers each in normal and reverse light cycle rooms with computer workstation and analysis software. </w:t>
      </w:r>
    </w:p>
    <w:p w14:paraId="6D3F2F12" w14:textId="77777777" w:rsidR="00086AB8" w:rsidRPr="00586A90" w:rsidRDefault="00086AB8" w:rsidP="00086AB8">
      <w:pPr>
        <w:pStyle w:val="ListParagraph"/>
        <w:widowControl w:val="0"/>
        <w:numPr>
          <w:ilvl w:val="0"/>
          <w:numId w:val="5"/>
        </w:numPr>
        <w:autoSpaceDE w:val="0"/>
        <w:autoSpaceDN w:val="0"/>
        <w:adjustRightInd w:val="0"/>
        <w:spacing w:after="0" w:line="240" w:lineRule="auto"/>
        <w:jc w:val="both"/>
        <w:rPr>
          <w:rFonts w:ascii="Arial" w:hAnsi="Arial" w:cs="Arial"/>
        </w:rPr>
      </w:pPr>
      <w:r w:rsidRPr="00586A90">
        <w:rPr>
          <w:rFonts w:ascii="Arial" w:hAnsi="Arial" w:cs="Arial"/>
          <w:b/>
        </w:rPr>
        <w:t xml:space="preserve">Med Associates operant chambers </w:t>
      </w:r>
      <w:r w:rsidRPr="00586A90">
        <w:rPr>
          <w:rFonts w:ascii="Arial" w:hAnsi="Arial" w:cs="Arial"/>
        </w:rPr>
        <w:t>(6 chambers). These are nose-poke chambers with reward dispensers for use in a number of operant, rewarded tasks, Coupled with computer workstation and analysis software.</w:t>
      </w:r>
    </w:p>
    <w:p w14:paraId="2BFDC18C" w14:textId="77777777" w:rsidR="00086AB8" w:rsidRPr="00586A90" w:rsidRDefault="00086AB8" w:rsidP="00086AB8">
      <w:pPr>
        <w:pStyle w:val="ListParagraph"/>
        <w:widowControl w:val="0"/>
        <w:numPr>
          <w:ilvl w:val="0"/>
          <w:numId w:val="5"/>
        </w:numPr>
        <w:autoSpaceDE w:val="0"/>
        <w:autoSpaceDN w:val="0"/>
        <w:adjustRightInd w:val="0"/>
        <w:spacing w:after="0" w:line="240" w:lineRule="auto"/>
        <w:jc w:val="both"/>
        <w:rPr>
          <w:rFonts w:ascii="Arial" w:hAnsi="Arial" w:cs="Arial"/>
        </w:rPr>
      </w:pPr>
      <w:r w:rsidRPr="00586A90">
        <w:rPr>
          <w:rFonts w:ascii="Arial" w:hAnsi="Arial" w:cs="Arial"/>
          <w:b/>
        </w:rPr>
        <w:t>Lafayette Touchscreen operant chambers</w:t>
      </w:r>
      <w:r w:rsidRPr="00586A90">
        <w:rPr>
          <w:rFonts w:ascii="Arial" w:hAnsi="Arial" w:cs="Arial"/>
        </w:rPr>
        <w:t xml:space="preserve"> (12 chambers). Touchscreen operant chambers with reward dispensers can be used for a number of reward-based operant conditioning tests, including 5-choice serial reaction time task and go/no-go task. Coupled with computer workstation and analysis software.</w:t>
      </w:r>
    </w:p>
    <w:p w14:paraId="5A545670" w14:textId="77777777" w:rsidR="006D3C63" w:rsidRDefault="006D3C63" w:rsidP="00E449C4">
      <w:pPr>
        <w:jc w:val="both"/>
        <w:rPr>
          <w:rFonts w:ascii="Arial" w:hAnsi="Arial" w:cs="Arial"/>
          <w:b/>
          <w:bCs/>
        </w:rPr>
      </w:pPr>
    </w:p>
    <w:p w14:paraId="5A6FCB0C" w14:textId="592422B5" w:rsidR="00086AB8" w:rsidRPr="00586A90" w:rsidRDefault="00086AB8" w:rsidP="00E449C4">
      <w:pPr>
        <w:jc w:val="both"/>
        <w:rPr>
          <w:rFonts w:ascii="Arial" w:hAnsi="Arial" w:cs="Arial"/>
          <w:b/>
          <w:bCs/>
        </w:rPr>
      </w:pPr>
      <w:r w:rsidRPr="00586A90">
        <w:rPr>
          <w:rFonts w:ascii="Arial" w:hAnsi="Arial" w:cs="Arial"/>
          <w:b/>
          <w:bCs/>
        </w:rPr>
        <w:t>Neurochemistry and Behavior Resources</w:t>
      </w:r>
    </w:p>
    <w:p w14:paraId="0DCD66DA" w14:textId="77777777" w:rsidR="00086AB8" w:rsidRPr="00586A90" w:rsidRDefault="00086AB8" w:rsidP="00086AB8">
      <w:pPr>
        <w:widowControl w:val="0"/>
        <w:autoSpaceDE w:val="0"/>
        <w:autoSpaceDN w:val="0"/>
        <w:adjustRightInd w:val="0"/>
        <w:jc w:val="both"/>
        <w:rPr>
          <w:rFonts w:ascii="Arial" w:hAnsi="Arial" w:cs="Arial"/>
        </w:rPr>
      </w:pPr>
      <w:r w:rsidRPr="00586A90">
        <w:rPr>
          <w:rFonts w:ascii="Arial" w:hAnsi="Arial" w:cs="Arial"/>
          <w:b/>
          <w:bCs/>
          <w:i/>
          <w:iCs/>
        </w:rPr>
        <w:t>In vivo</w:t>
      </w:r>
      <w:r w:rsidRPr="00586A90">
        <w:rPr>
          <w:rFonts w:ascii="Arial" w:hAnsi="Arial" w:cs="Arial"/>
          <w:b/>
          <w:bCs/>
        </w:rPr>
        <w:t xml:space="preserve"> </w:t>
      </w:r>
      <w:proofErr w:type="spellStart"/>
      <w:r w:rsidRPr="00586A90">
        <w:rPr>
          <w:rFonts w:ascii="Arial" w:hAnsi="Arial" w:cs="Arial"/>
          <w:b/>
          <w:bCs/>
        </w:rPr>
        <w:t>microdialysis</w:t>
      </w:r>
      <w:proofErr w:type="spellEnd"/>
      <w:r w:rsidRPr="00586A90">
        <w:rPr>
          <w:rFonts w:ascii="Arial" w:hAnsi="Arial" w:cs="Arial"/>
          <w:b/>
          <w:bCs/>
        </w:rPr>
        <w:t>:</w:t>
      </w:r>
      <w:r w:rsidRPr="00586A90">
        <w:rPr>
          <w:rFonts w:ascii="Arial" w:hAnsi="Arial" w:cs="Arial"/>
        </w:rPr>
        <w:t xml:space="preserve"> The Core is equipped with 4 Med Associates activity monitors equipped with </w:t>
      </w:r>
      <w:r w:rsidRPr="00586A90">
        <w:rPr>
          <w:rFonts w:ascii="Arial" w:hAnsi="Arial" w:cs="Arial"/>
          <w:bCs/>
        </w:rPr>
        <w:t>counter-balanced lever arms</w:t>
      </w:r>
      <w:r w:rsidRPr="00586A90">
        <w:rPr>
          <w:rFonts w:ascii="Arial" w:hAnsi="Arial" w:cs="Arial"/>
        </w:rPr>
        <w:t xml:space="preserve"> with tethers for concurrent open field activity and </w:t>
      </w:r>
      <w:r w:rsidRPr="00586A90">
        <w:rPr>
          <w:rFonts w:ascii="Arial" w:hAnsi="Arial" w:cs="Arial"/>
          <w:i/>
        </w:rPr>
        <w:t>in vivo</w:t>
      </w:r>
      <w:r w:rsidRPr="00586A90">
        <w:rPr>
          <w:rFonts w:ascii="Arial" w:hAnsi="Arial" w:cs="Arial"/>
        </w:rPr>
        <w:t xml:space="preserve"> </w:t>
      </w:r>
      <w:proofErr w:type="spellStart"/>
      <w:r w:rsidRPr="00586A90">
        <w:rPr>
          <w:rFonts w:ascii="Arial" w:hAnsi="Arial" w:cs="Arial"/>
        </w:rPr>
        <w:t>microdialysis</w:t>
      </w:r>
      <w:proofErr w:type="spellEnd"/>
      <w:r w:rsidRPr="00586A90">
        <w:rPr>
          <w:rFonts w:ascii="Arial" w:hAnsi="Arial" w:cs="Arial"/>
        </w:rPr>
        <w:t xml:space="preserve"> in awake, freely-moving mice and </w:t>
      </w:r>
      <w:r w:rsidRPr="00586A90">
        <w:rPr>
          <w:rFonts w:ascii="Arial" w:hAnsi="Arial" w:cs="Arial"/>
          <w:iCs/>
        </w:rPr>
        <w:t>3</w:t>
      </w:r>
      <w:r w:rsidRPr="00586A90">
        <w:rPr>
          <w:rFonts w:ascii="Arial" w:hAnsi="Arial" w:cs="Arial"/>
          <w:b/>
          <w:bCs/>
          <w:iCs/>
        </w:rPr>
        <w:t xml:space="preserve"> </w:t>
      </w:r>
      <w:r w:rsidRPr="00586A90">
        <w:rPr>
          <w:rFonts w:ascii="Arial" w:hAnsi="Arial" w:cs="Arial"/>
        </w:rPr>
        <w:t xml:space="preserve">clear animal containers with </w:t>
      </w:r>
      <w:r w:rsidRPr="00586A90">
        <w:rPr>
          <w:rFonts w:ascii="Arial" w:hAnsi="Arial" w:cs="Arial"/>
          <w:bCs/>
        </w:rPr>
        <w:t>counter-balanced lever arm</w:t>
      </w:r>
      <w:r w:rsidRPr="00586A90">
        <w:rPr>
          <w:rFonts w:ascii="Arial" w:hAnsi="Arial" w:cs="Arial"/>
        </w:rPr>
        <w:t xml:space="preserve">s with tethers for </w:t>
      </w:r>
      <w:r w:rsidRPr="00586A90">
        <w:rPr>
          <w:rFonts w:ascii="Arial" w:hAnsi="Arial" w:cs="Arial"/>
          <w:i/>
          <w:iCs/>
        </w:rPr>
        <w:t xml:space="preserve">in vivo </w:t>
      </w:r>
      <w:proofErr w:type="spellStart"/>
      <w:r w:rsidRPr="00586A90">
        <w:rPr>
          <w:rFonts w:ascii="Arial" w:hAnsi="Arial" w:cs="Arial"/>
        </w:rPr>
        <w:t>microdialysis</w:t>
      </w:r>
      <w:proofErr w:type="spellEnd"/>
      <w:r w:rsidRPr="00586A90">
        <w:rPr>
          <w:rFonts w:ascii="Arial" w:hAnsi="Arial" w:cs="Arial"/>
        </w:rPr>
        <w:t xml:space="preserve"> in awake, freely-moving mice. Samples are collected with an </w:t>
      </w:r>
      <w:r w:rsidRPr="00586A90">
        <w:rPr>
          <w:rFonts w:ascii="Arial" w:hAnsi="Arial" w:cs="Arial"/>
          <w:bCs/>
        </w:rPr>
        <w:t>inline</w:t>
      </w:r>
      <w:r w:rsidRPr="00586A90">
        <w:rPr>
          <w:rFonts w:ascii="Arial" w:hAnsi="Arial" w:cs="Arial"/>
          <w:b/>
          <w:bCs/>
        </w:rPr>
        <w:t xml:space="preserve"> </w:t>
      </w:r>
      <w:r w:rsidRPr="00586A90">
        <w:rPr>
          <w:rFonts w:ascii="Arial" w:hAnsi="Arial" w:cs="Arial"/>
        </w:rPr>
        <w:t xml:space="preserve">programmable </w:t>
      </w:r>
      <w:proofErr w:type="spellStart"/>
      <w:r w:rsidRPr="00586A90">
        <w:rPr>
          <w:rFonts w:ascii="Arial" w:hAnsi="Arial" w:cs="Arial"/>
        </w:rPr>
        <w:t>Eicom</w:t>
      </w:r>
      <w:proofErr w:type="spellEnd"/>
      <w:r w:rsidRPr="00586A90">
        <w:rPr>
          <w:rFonts w:ascii="Arial" w:hAnsi="Arial" w:cs="Arial"/>
        </w:rPr>
        <w:t xml:space="preserve"> </w:t>
      </w:r>
      <w:proofErr w:type="spellStart"/>
      <w:r w:rsidRPr="00586A90">
        <w:rPr>
          <w:rFonts w:ascii="Arial" w:hAnsi="Arial" w:cs="Arial"/>
        </w:rPr>
        <w:t>Microdialysis</w:t>
      </w:r>
      <w:proofErr w:type="spellEnd"/>
      <w:r w:rsidRPr="00586A90">
        <w:rPr>
          <w:rFonts w:ascii="Arial" w:hAnsi="Arial" w:cs="Arial"/>
        </w:rPr>
        <w:t xml:space="preserve"> Fraction Collector</w:t>
      </w:r>
      <w:r w:rsidRPr="00586A90">
        <w:rPr>
          <w:rFonts w:ascii="Arial" w:hAnsi="Arial" w:cs="Arial"/>
          <w:bCs/>
        </w:rPr>
        <w:t xml:space="preserve"> (FC-90) for </w:t>
      </w:r>
      <w:r w:rsidRPr="00586A90">
        <w:rPr>
          <w:rFonts w:ascii="Arial" w:hAnsi="Arial" w:cs="Arial"/>
        </w:rPr>
        <w:t>up to 4 mice at once with refrigerated chamber using 96 well plates.</w:t>
      </w:r>
    </w:p>
    <w:p w14:paraId="49E9C283" w14:textId="3FBFA3A8" w:rsidR="00086AB8" w:rsidRPr="00586A90" w:rsidRDefault="00086AB8" w:rsidP="00086AB8">
      <w:pPr>
        <w:widowControl w:val="0"/>
        <w:autoSpaceDE w:val="0"/>
        <w:autoSpaceDN w:val="0"/>
        <w:adjustRightInd w:val="0"/>
        <w:jc w:val="both"/>
        <w:rPr>
          <w:rFonts w:ascii="Arial" w:hAnsi="Arial" w:cs="Arial"/>
        </w:rPr>
      </w:pPr>
      <w:r w:rsidRPr="00586A90">
        <w:rPr>
          <w:rFonts w:ascii="Arial" w:hAnsi="Arial" w:cs="Arial"/>
          <w:b/>
          <w:bCs/>
        </w:rPr>
        <w:t>High-performance liquid chromatography:</w:t>
      </w:r>
      <w:r w:rsidRPr="00586A90">
        <w:rPr>
          <w:rFonts w:ascii="Arial" w:hAnsi="Arial" w:cs="Arial"/>
        </w:rPr>
        <w:t xml:space="preserve"> </w:t>
      </w:r>
      <w:proofErr w:type="spellStart"/>
      <w:r w:rsidRPr="00586A90">
        <w:rPr>
          <w:rFonts w:ascii="Arial" w:hAnsi="Arial" w:cs="Arial"/>
        </w:rPr>
        <w:t>Eicom</w:t>
      </w:r>
      <w:proofErr w:type="spellEnd"/>
      <w:r w:rsidRPr="00586A90">
        <w:rPr>
          <w:rFonts w:ascii="Arial" w:hAnsi="Arial" w:cs="Arial"/>
        </w:rPr>
        <w:t xml:space="preserve"> HTEC-510 HPLC-ECD System includes Pulse-less HPLC pump and electrochemical detector in line with AS-700 </w:t>
      </w:r>
      <w:proofErr w:type="spellStart"/>
      <w:r w:rsidRPr="00586A90">
        <w:rPr>
          <w:rFonts w:ascii="Arial" w:hAnsi="Arial" w:cs="Arial"/>
        </w:rPr>
        <w:t>Eicom</w:t>
      </w:r>
      <w:proofErr w:type="spellEnd"/>
      <w:r w:rsidRPr="00586A90">
        <w:rPr>
          <w:rFonts w:ascii="Arial" w:hAnsi="Arial" w:cs="Arial"/>
        </w:rPr>
        <w:t xml:space="preserve"> INSIGHT Autosampler, 2 x 96 well plate capacity for </w:t>
      </w:r>
      <w:proofErr w:type="spellStart"/>
      <w:r w:rsidRPr="00586A90">
        <w:rPr>
          <w:rFonts w:ascii="Arial" w:hAnsi="Arial" w:cs="Arial"/>
        </w:rPr>
        <w:t>microdialysis</w:t>
      </w:r>
      <w:proofErr w:type="spellEnd"/>
      <w:r w:rsidRPr="00586A90">
        <w:rPr>
          <w:rFonts w:ascii="Arial" w:hAnsi="Arial" w:cs="Arial"/>
        </w:rPr>
        <w:t xml:space="preserve"> and tissue monoamine and amino acid quantification controlled by a Windows PC with Envision Data System (EPC-700) software.</w:t>
      </w:r>
    </w:p>
    <w:p w14:paraId="226DF474" w14:textId="77777777" w:rsidR="00086AB8" w:rsidRPr="00586A90" w:rsidRDefault="00086AB8" w:rsidP="00086AB8">
      <w:pPr>
        <w:jc w:val="both"/>
        <w:rPr>
          <w:rFonts w:ascii="Arial" w:hAnsi="Arial" w:cs="Arial"/>
        </w:rPr>
      </w:pPr>
      <w:r w:rsidRPr="00586A90">
        <w:rPr>
          <w:rFonts w:ascii="Arial" w:hAnsi="Arial" w:cs="Arial"/>
          <w:b/>
        </w:rPr>
        <w:t>Additional resource description</w:t>
      </w:r>
      <w:r w:rsidRPr="00586A90">
        <w:rPr>
          <w:rFonts w:ascii="Arial" w:hAnsi="Arial" w:cs="Arial"/>
          <w:b/>
          <w:bCs/>
        </w:rPr>
        <w:t>:</w:t>
      </w:r>
      <w:r>
        <w:rPr>
          <w:rFonts w:ascii="Arial" w:hAnsi="Arial" w:cs="Arial"/>
        </w:rPr>
        <w:t xml:space="preserve"> </w:t>
      </w:r>
      <w:r w:rsidRPr="00586A90">
        <w:rPr>
          <w:rFonts w:ascii="Arial" w:hAnsi="Arial" w:cs="Arial"/>
        </w:rPr>
        <w:t xml:space="preserve">In total, the Core has 5 </w:t>
      </w:r>
      <w:proofErr w:type="spellStart"/>
      <w:r w:rsidRPr="00586A90">
        <w:rPr>
          <w:rFonts w:ascii="Arial" w:hAnsi="Arial" w:cs="Arial"/>
        </w:rPr>
        <w:t>Noldus</w:t>
      </w:r>
      <w:proofErr w:type="spellEnd"/>
      <w:r w:rsidRPr="00586A90">
        <w:rPr>
          <w:rFonts w:ascii="Arial" w:hAnsi="Arial" w:cs="Arial"/>
        </w:rPr>
        <w:t xml:space="preserve"> </w:t>
      </w:r>
      <w:proofErr w:type="spellStart"/>
      <w:r w:rsidRPr="00586A90">
        <w:rPr>
          <w:rFonts w:ascii="Arial" w:hAnsi="Arial" w:cs="Arial"/>
          <w:bCs/>
        </w:rPr>
        <w:t>Ethovision</w:t>
      </w:r>
      <w:proofErr w:type="spellEnd"/>
      <w:r w:rsidRPr="00586A90">
        <w:rPr>
          <w:rFonts w:ascii="Arial" w:hAnsi="Arial" w:cs="Arial"/>
          <w:bCs/>
        </w:rPr>
        <w:t xml:space="preserve"> XT licenses under a </w:t>
      </w:r>
      <w:proofErr w:type="spellStart"/>
      <w:r w:rsidRPr="00586A90">
        <w:rPr>
          <w:rFonts w:ascii="Arial" w:hAnsi="Arial" w:cs="Arial"/>
          <w:bCs/>
        </w:rPr>
        <w:t>NoldusCare</w:t>
      </w:r>
      <w:proofErr w:type="spellEnd"/>
      <w:r w:rsidRPr="00586A90">
        <w:rPr>
          <w:rFonts w:ascii="Arial" w:hAnsi="Arial" w:cs="Arial"/>
          <w:bCs/>
        </w:rPr>
        <w:t xml:space="preserve"> service contract that includes updates to the most recent version of the software.</w:t>
      </w:r>
    </w:p>
    <w:p w14:paraId="3262DDA0" w14:textId="77777777" w:rsidR="00086AB8" w:rsidRPr="00586A90" w:rsidRDefault="00086AB8" w:rsidP="00086AB8">
      <w:pPr>
        <w:widowControl w:val="0"/>
        <w:autoSpaceDE w:val="0"/>
        <w:autoSpaceDN w:val="0"/>
        <w:adjustRightInd w:val="0"/>
        <w:jc w:val="both"/>
        <w:rPr>
          <w:rFonts w:ascii="Arial" w:hAnsi="Arial" w:cs="Arial"/>
        </w:rPr>
      </w:pPr>
      <w:r w:rsidRPr="00586A90">
        <w:rPr>
          <w:rFonts w:ascii="Arial" w:hAnsi="Arial" w:cs="Arial"/>
          <w:b/>
        </w:rPr>
        <w:t>Reverse light cycle housing and testing.</w:t>
      </w:r>
      <w:r w:rsidRPr="00586A90">
        <w:rPr>
          <w:rFonts w:ascii="Arial" w:hAnsi="Arial" w:cs="Arial"/>
        </w:rPr>
        <w:t xml:space="preserve"> A colony room in the vivarium (Comparative Medicine housing) is permanently set on a reverse light cycle and is contiguous with a procedure room equipped with a hood for </w:t>
      </w:r>
      <w:r w:rsidRPr="00586A90">
        <w:rPr>
          <w:rFonts w:ascii="Arial" w:hAnsi="Arial" w:cs="Arial"/>
        </w:rPr>
        <w:lastRenderedPageBreak/>
        <w:t>tagging and tailing and Behavior Core testing rooms for open field monitoring, light/dark test, conditioned place preference and touchscreen and nose-poke operant behavior.</w:t>
      </w:r>
    </w:p>
    <w:p w14:paraId="5D5410EC" w14:textId="77777777" w:rsidR="00086AB8" w:rsidRPr="00586A90" w:rsidRDefault="00086AB8" w:rsidP="00086AB8">
      <w:pPr>
        <w:widowControl w:val="0"/>
        <w:autoSpaceDE w:val="0"/>
        <w:autoSpaceDN w:val="0"/>
        <w:adjustRightInd w:val="0"/>
        <w:jc w:val="both"/>
        <w:rPr>
          <w:rFonts w:ascii="Arial" w:hAnsi="Arial" w:cs="Arial"/>
        </w:rPr>
      </w:pPr>
      <w:r w:rsidRPr="00586A90">
        <w:rPr>
          <w:rFonts w:ascii="Arial" w:hAnsi="Arial" w:cs="Arial"/>
          <w:b/>
          <w:bCs/>
        </w:rPr>
        <w:t>Procedure rooms.</w:t>
      </w:r>
      <w:r w:rsidRPr="00586A90">
        <w:rPr>
          <w:rFonts w:ascii="Arial" w:hAnsi="Arial" w:cs="Arial"/>
        </w:rPr>
        <w:t xml:space="preserve"> There is an additional procedure room, containing stainless steel procedure benches, animal weighing scales, two syringe pumps, approximately 15 Hamilton Syringes.</w:t>
      </w:r>
    </w:p>
    <w:p w14:paraId="69EF2C17" w14:textId="77777777" w:rsidR="00086AB8" w:rsidRPr="00586A90" w:rsidRDefault="00086AB8" w:rsidP="00086AB8">
      <w:pPr>
        <w:widowControl w:val="0"/>
        <w:autoSpaceDE w:val="0"/>
        <w:autoSpaceDN w:val="0"/>
        <w:adjustRightInd w:val="0"/>
        <w:jc w:val="both"/>
        <w:rPr>
          <w:rFonts w:ascii="Arial" w:hAnsi="Arial" w:cs="Arial"/>
        </w:rPr>
      </w:pPr>
      <w:r w:rsidRPr="00586A90">
        <w:rPr>
          <w:rFonts w:ascii="Arial" w:hAnsi="Arial" w:cs="Arial"/>
          <w:b/>
        </w:rPr>
        <w:t>Surgical suite.</w:t>
      </w:r>
      <w:r w:rsidRPr="00586A90">
        <w:rPr>
          <w:rFonts w:ascii="Arial" w:hAnsi="Arial" w:cs="Arial"/>
        </w:rPr>
        <w:t xml:space="preserve"> Room overseen by FAU Comparative Medicine equipped for isoflurane anesthesia and stereotaxic surgery for intracranial </w:t>
      </w:r>
      <w:proofErr w:type="spellStart"/>
      <w:r w:rsidRPr="00586A90">
        <w:rPr>
          <w:rFonts w:ascii="Arial" w:hAnsi="Arial" w:cs="Arial"/>
        </w:rPr>
        <w:t>cannulae</w:t>
      </w:r>
      <w:proofErr w:type="spellEnd"/>
      <w:r w:rsidRPr="00586A90">
        <w:rPr>
          <w:rFonts w:ascii="Arial" w:hAnsi="Arial" w:cs="Arial"/>
        </w:rPr>
        <w:t xml:space="preserve"> implantation. The Core performs </w:t>
      </w:r>
      <w:proofErr w:type="spellStart"/>
      <w:r w:rsidRPr="00586A90">
        <w:rPr>
          <w:rFonts w:ascii="Arial" w:hAnsi="Arial" w:cs="Arial"/>
        </w:rPr>
        <w:t>cannulae</w:t>
      </w:r>
      <w:proofErr w:type="spellEnd"/>
      <w:r w:rsidRPr="00586A90">
        <w:rPr>
          <w:rFonts w:ascii="Arial" w:hAnsi="Arial" w:cs="Arial"/>
        </w:rPr>
        <w:t xml:space="preserve"> implantation for </w:t>
      </w:r>
      <w:proofErr w:type="spellStart"/>
      <w:r w:rsidRPr="00586A90">
        <w:rPr>
          <w:rFonts w:ascii="Arial" w:hAnsi="Arial" w:cs="Arial"/>
        </w:rPr>
        <w:t>microdialysis</w:t>
      </w:r>
      <w:proofErr w:type="spellEnd"/>
      <w:r w:rsidRPr="00586A90">
        <w:rPr>
          <w:rFonts w:ascii="Arial" w:hAnsi="Arial" w:cs="Arial"/>
        </w:rPr>
        <w:t xml:space="preserve"> sample collection.</w:t>
      </w:r>
    </w:p>
    <w:p w14:paraId="469CC755" w14:textId="77777777" w:rsidR="00C45CB5" w:rsidRDefault="00C45CB5" w:rsidP="00E7068D">
      <w:pPr>
        <w:widowControl w:val="0"/>
        <w:adjustRightInd w:val="0"/>
        <w:jc w:val="both"/>
        <w:rPr>
          <w:rFonts w:ascii="Arial" w:hAnsi="Arial" w:cs="Arial"/>
          <w:b/>
          <w:bCs/>
          <w:spacing w:val="-4"/>
          <w:sz w:val="24"/>
          <w:szCs w:val="24"/>
        </w:rPr>
      </w:pPr>
    </w:p>
    <w:p w14:paraId="2B7AE3F0" w14:textId="7F464A49" w:rsidR="00E7068D" w:rsidRPr="00E449C4" w:rsidRDefault="00E7068D" w:rsidP="00E7068D">
      <w:pPr>
        <w:widowControl w:val="0"/>
        <w:adjustRightInd w:val="0"/>
        <w:jc w:val="both"/>
        <w:rPr>
          <w:rFonts w:ascii="Arial" w:hAnsi="Arial" w:cs="Arial"/>
          <w:b/>
          <w:bCs/>
          <w:spacing w:val="4"/>
          <w:sz w:val="24"/>
          <w:szCs w:val="24"/>
        </w:rPr>
      </w:pPr>
      <w:r w:rsidRPr="00E449C4">
        <w:rPr>
          <w:rFonts w:ascii="Arial" w:hAnsi="Arial" w:cs="Arial"/>
          <w:b/>
          <w:bCs/>
          <w:spacing w:val="-4"/>
          <w:sz w:val="24"/>
          <w:szCs w:val="24"/>
        </w:rPr>
        <w:t>Nikon</w:t>
      </w:r>
      <w:r w:rsidRPr="00E449C4">
        <w:rPr>
          <w:rFonts w:ascii="Arial" w:hAnsi="Arial" w:cs="Arial"/>
          <w:b/>
          <w:bCs/>
          <w:spacing w:val="6"/>
          <w:sz w:val="24"/>
          <w:szCs w:val="24"/>
        </w:rPr>
        <w:t xml:space="preserve"> </w:t>
      </w:r>
      <w:r w:rsidRPr="00E449C4">
        <w:rPr>
          <w:rFonts w:ascii="Arial" w:hAnsi="Arial" w:cs="Arial"/>
          <w:b/>
          <w:bCs/>
          <w:sz w:val="24"/>
          <w:szCs w:val="24"/>
        </w:rPr>
        <w:t>Center</w:t>
      </w:r>
      <w:r w:rsidRPr="00E449C4">
        <w:rPr>
          <w:rFonts w:ascii="Arial" w:hAnsi="Arial" w:cs="Arial"/>
          <w:b/>
          <w:bCs/>
          <w:spacing w:val="-12"/>
          <w:sz w:val="24"/>
          <w:szCs w:val="24"/>
        </w:rPr>
        <w:t xml:space="preserve"> </w:t>
      </w:r>
      <w:r w:rsidRPr="00E449C4">
        <w:rPr>
          <w:rFonts w:ascii="Arial" w:hAnsi="Arial" w:cs="Arial"/>
          <w:b/>
          <w:bCs/>
          <w:sz w:val="24"/>
          <w:szCs w:val="24"/>
        </w:rPr>
        <w:t>of</w:t>
      </w:r>
      <w:r w:rsidRPr="00E449C4">
        <w:rPr>
          <w:rFonts w:ascii="Arial" w:hAnsi="Arial" w:cs="Arial"/>
          <w:b/>
          <w:bCs/>
          <w:spacing w:val="5"/>
          <w:sz w:val="24"/>
          <w:szCs w:val="24"/>
        </w:rPr>
        <w:t xml:space="preserve"> </w:t>
      </w:r>
      <w:r w:rsidRPr="00E449C4">
        <w:rPr>
          <w:rFonts w:ascii="Arial" w:hAnsi="Arial" w:cs="Arial"/>
          <w:b/>
          <w:bCs/>
          <w:sz w:val="24"/>
          <w:szCs w:val="24"/>
        </w:rPr>
        <w:t>Excellence</w:t>
      </w:r>
      <w:r w:rsidRPr="00E449C4">
        <w:rPr>
          <w:rFonts w:ascii="Arial" w:hAnsi="Arial" w:cs="Arial"/>
          <w:b/>
          <w:bCs/>
          <w:spacing w:val="-14"/>
          <w:sz w:val="24"/>
          <w:szCs w:val="24"/>
        </w:rPr>
        <w:t xml:space="preserve"> </w:t>
      </w:r>
      <w:r w:rsidRPr="00E449C4">
        <w:rPr>
          <w:rFonts w:ascii="Arial" w:hAnsi="Arial" w:cs="Arial"/>
          <w:b/>
          <w:bCs/>
          <w:sz w:val="24"/>
          <w:szCs w:val="24"/>
        </w:rPr>
        <w:t xml:space="preserve">Cell </w:t>
      </w:r>
      <w:r w:rsidRPr="00E449C4">
        <w:rPr>
          <w:rFonts w:ascii="Arial" w:hAnsi="Arial" w:cs="Arial"/>
          <w:b/>
          <w:bCs/>
          <w:spacing w:val="-3"/>
          <w:sz w:val="24"/>
          <w:szCs w:val="24"/>
        </w:rPr>
        <w:t>Imaging</w:t>
      </w:r>
      <w:r w:rsidRPr="00E449C4">
        <w:rPr>
          <w:rFonts w:ascii="Arial" w:hAnsi="Arial" w:cs="Arial"/>
          <w:b/>
          <w:bCs/>
          <w:spacing w:val="6"/>
          <w:sz w:val="24"/>
          <w:szCs w:val="24"/>
        </w:rPr>
        <w:t xml:space="preserve"> </w:t>
      </w:r>
      <w:r w:rsidRPr="00E449C4">
        <w:rPr>
          <w:rFonts w:ascii="Arial" w:hAnsi="Arial" w:cs="Arial"/>
          <w:b/>
          <w:bCs/>
          <w:spacing w:val="4"/>
          <w:sz w:val="24"/>
          <w:szCs w:val="24"/>
        </w:rPr>
        <w:t>Core (FAU</w:t>
      </w:r>
      <w:r w:rsidR="00C45CB5" w:rsidRPr="00E449C4">
        <w:rPr>
          <w:rFonts w:ascii="Arial" w:hAnsi="Arial" w:cs="Arial"/>
          <w:b/>
          <w:bCs/>
          <w:spacing w:val="4"/>
          <w:sz w:val="24"/>
          <w:szCs w:val="24"/>
        </w:rPr>
        <w:t>/College of Medicine)</w:t>
      </w:r>
    </w:p>
    <w:p w14:paraId="24873D8A" w14:textId="77777777" w:rsidR="00E7068D" w:rsidRDefault="00E7068D" w:rsidP="00E7068D">
      <w:pPr>
        <w:widowControl w:val="0"/>
        <w:adjustRightInd w:val="0"/>
        <w:ind w:firstLine="360"/>
        <w:jc w:val="both"/>
        <w:rPr>
          <w:rStyle w:val="bodytext"/>
          <w:rFonts w:ascii="Arial" w:hAnsi="Arial" w:cs="Arial"/>
        </w:rPr>
      </w:pPr>
      <w:r w:rsidRPr="009E0956">
        <w:rPr>
          <w:rStyle w:val="bodytext"/>
          <w:rFonts w:ascii="Arial" w:hAnsi="Arial" w:cs="Arial"/>
        </w:rPr>
        <w:t xml:space="preserve">The </w:t>
      </w:r>
      <w:r w:rsidRPr="00925767">
        <w:rPr>
          <w:rStyle w:val="bodytext"/>
          <w:rFonts w:ascii="Arial" w:hAnsi="Arial" w:cs="Arial"/>
          <w:bCs/>
        </w:rPr>
        <w:t>Cell Imaging Core</w:t>
      </w:r>
      <w:r w:rsidRPr="009E0956">
        <w:rPr>
          <w:rStyle w:val="bodytext"/>
          <w:rFonts w:ascii="Arial" w:hAnsi="Arial" w:cs="Arial"/>
        </w:rPr>
        <w:t xml:space="preserve"> occupies approximately 800 sq ft of dedicated research space in buildings MC-17 and MC-19 on the Jupiter campus, and another 200 sq ft of dedicated space in the College of Medicine, Boca Raton campus. The Core is overseen by Managing Director Dr. Jana </w:t>
      </w:r>
      <w:proofErr w:type="spellStart"/>
      <w:r w:rsidRPr="009E0956">
        <w:rPr>
          <w:rStyle w:val="bodytext"/>
          <w:rFonts w:ascii="Arial" w:hAnsi="Arial" w:cs="Arial"/>
        </w:rPr>
        <w:t>Börner</w:t>
      </w:r>
      <w:proofErr w:type="spellEnd"/>
      <w:r w:rsidRPr="009E0956">
        <w:rPr>
          <w:rStyle w:val="bodytext"/>
          <w:rFonts w:ascii="Arial" w:hAnsi="Arial" w:cs="Arial"/>
        </w:rPr>
        <w:t xml:space="preserve"> and Scientific Director Dr. Qi Zhang. Dr. </w:t>
      </w:r>
      <w:proofErr w:type="spellStart"/>
      <w:r w:rsidRPr="009E0956">
        <w:rPr>
          <w:rStyle w:val="bodytext"/>
          <w:rFonts w:ascii="Arial" w:hAnsi="Arial" w:cs="Arial"/>
        </w:rPr>
        <w:t>Börner</w:t>
      </w:r>
      <w:proofErr w:type="spellEnd"/>
      <w:r w:rsidRPr="009E0956">
        <w:rPr>
          <w:rStyle w:val="bodytext"/>
          <w:rFonts w:ascii="Arial" w:hAnsi="Arial" w:cs="Arial"/>
        </w:rPr>
        <w:t xml:space="preserve"> oversees all Core equipment and provides users with training and assistance on instrumentation and associated software. The Core houses two Nikon confocal microscopes </w:t>
      </w:r>
      <w:r w:rsidRPr="004F408A">
        <w:rPr>
          <w:rFonts w:ascii="Arial" w:hAnsi="Arial" w:cs="Arial"/>
        </w:rPr>
        <w:t xml:space="preserve">(Nikon </w:t>
      </w:r>
      <w:r w:rsidRPr="004F408A">
        <w:rPr>
          <w:rFonts w:ascii="Arial" w:hAnsi="Arial" w:cs="Arial"/>
          <w:spacing w:val="-3"/>
        </w:rPr>
        <w:t xml:space="preserve">N-SIM </w:t>
      </w:r>
      <w:r w:rsidRPr="004F408A">
        <w:rPr>
          <w:rFonts w:ascii="Arial" w:hAnsi="Arial" w:cs="Arial"/>
        </w:rPr>
        <w:t xml:space="preserve">E and A1+R combined </w:t>
      </w:r>
      <w:r w:rsidRPr="004F408A">
        <w:rPr>
          <w:rFonts w:ascii="Arial" w:hAnsi="Arial" w:cs="Arial"/>
          <w:spacing w:val="-3"/>
        </w:rPr>
        <w:t xml:space="preserve">Super </w:t>
      </w:r>
      <w:r w:rsidRPr="004F408A">
        <w:rPr>
          <w:rFonts w:ascii="Arial" w:hAnsi="Arial" w:cs="Arial"/>
        </w:rPr>
        <w:t>Resolution</w:t>
      </w:r>
      <w:r w:rsidRPr="004F408A">
        <w:rPr>
          <w:rFonts w:ascii="Arial" w:hAnsi="Arial" w:cs="Arial"/>
          <w:spacing w:val="-6"/>
        </w:rPr>
        <w:t xml:space="preserve"> </w:t>
      </w:r>
      <w:r w:rsidRPr="004F408A">
        <w:rPr>
          <w:rFonts w:ascii="Arial" w:hAnsi="Arial" w:cs="Arial"/>
        </w:rPr>
        <w:t>and</w:t>
      </w:r>
      <w:r w:rsidRPr="004F408A">
        <w:rPr>
          <w:rFonts w:ascii="Arial" w:hAnsi="Arial" w:cs="Arial"/>
          <w:spacing w:val="-6"/>
        </w:rPr>
        <w:t xml:space="preserve"> </w:t>
      </w:r>
      <w:r w:rsidRPr="004F408A">
        <w:rPr>
          <w:rFonts w:ascii="Arial" w:hAnsi="Arial" w:cs="Arial"/>
        </w:rPr>
        <w:t>Confocal</w:t>
      </w:r>
      <w:r w:rsidRPr="004F408A">
        <w:rPr>
          <w:rFonts w:ascii="Arial" w:hAnsi="Arial" w:cs="Arial"/>
          <w:spacing w:val="-10"/>
        </w:rPr>
        <w:t xml:space="preserve"> </w:t>
      </w:r>
      <w:r w:rsidRPr="004F408A">
        <w:rPr>
          <w:rFonts w:ascii="Arial" w:hAnsi="Arial" w:cs="Arial"/>
          <w:spacing w:val="-3"/>
        </w:rPr>
        <w:t>Imaging</w:t>
      </w:r>
      <w:r w:rsidRPr="004F408A">
        <w:rPr>
          <w:rFonts w:ascii="Arial" w:hAnsi="Arial" w:cs="Arial"/>
          <w:spacing w:val="-6"/>
        </w:rPr>
        <w:t xml:space="preserve"> </w:t>
      </w:r>
      <w:r w:rsidRPr="004F408A">
        <w:rPr>
          <w:rFonts w:ascii="Arial" w:hAnsi="Arial" w:cs="Arial"/>
        </w:rPr>
        <w:t>System)</w:t>
      </w:r>
      <w:r w:rsidRPr="004F408A">
        <w:rPr>
          <w:rFonts w:ascii="Arial" w:hAnsi="Arial" w:cs="Arial"/>
          <w:spacing w:val="-3"/>
        </w:rPr>
        <w:t xml:space="preserve"> </w:t>
      </w:r>
      <w:r w:rsidRPr="009E0956">
        <w:rPr>
          <w:rStyle w:val="bodytext"/>
          <w:rFonts w:ascii="Arial" w:hAnsi="Arial" w:cs="Arial"/>
        </w:rPr>
        <w:t xml:space="preserve">with associated computers for instrument operation and data collection, a Nikon 2 photon microscope, three in house designed imaging platforms for acute and chronic imaging of cells and brain slices, along with two dedicated image analysis workstations. Additionally, the Core provides access to an </w:t>
      </w:r>
      <w:r w:rsidRPr="009E0956">
        <w:rPr>
          <w:rFonts w:ascii="Arial" w:hAnsi="Arial" w:cs="Arial"/>
        </w:rPr>
        <w:t>Olympus BX51 microscop</w:t>
      </w:r>
      <w:r>
        <w:rPr>
          <w:rFonts w:ascii="Arial" w:hAnsi="Arial" w:cs="Arial"/>
        </w:rPr>
        <w:t>e</w:t>
      </w:r>
      <w:r w:rsidRPr="009E0956">
        <w:rPr>
          <w:rFonts w:ascii="Arial" w:hAnsi="Arial" w:cs="Arial"/>
        </w:rPr>
        <w:t xml:space="preserve"> with Optronics </w:t>
      </w:r>
      <w:proofErr w:type="spellStart"/>
      <w:r w:rsidRPr="009E0956">
        <w:rPr>
          <w:rFonts w:ascii="Arial" w:hAnsi="Arial" w:cs="Arial"/>
        </w:rPr>
        <w:t>MicroFire</w:t>
      </w:r>
      <w:proofErr w:type="spellEnd"/>
      <w:r w:rsidRPr="009E0956">
        <w:rPr>
          <w:rFonts w:ascii="Arial" w:hAnsi="Arial" w:cs="Arial"/>
        </w:rPr>
        <w:t xml:space="preserve"> camera, motorized stage and </w:t>
      </w:r>
      <w:proofErr w:type="spellStart"/>
      <w:r w:rsidRPr="009E0956">
        <w:rPr>
          <w:rFonts w:ascii="Arial" w:hAnsi="Arial" w:cs="Arial"/>
        </w:rPr>
        <w:t>Neurolucida</w:t>
      </w:r>
      <w:proofErr w:type="spellEnd"/>
      <w:r w:rsidRPr="009E0956">
        <w:rPr>
          <w:rFonts w:ascii="Arial" w:hAnsi="Arial" w:cs="Arial"/>
        </w:rPr>
        <w:t xml:space="preserve"> Software</w:t>
      </w:r>
      <w:r w:rsidRPr="009E0956">
        <w:rPr>
          <w:rStyle w:val="bodytext"/>
          <w:rFonts w:ascii="Arial" w:hAnsi="Arial" w:cs="Arial"/>
        </w:rPr>
        <w:t xml:space="preserve">. </w:t>
      </w:r>
      <w:r>
        <w:rPr>
          <w:rFonts w:ascii="Arial" w:hAnsi="Arial" w:cs="Arial"/>
        </w:rPr>
        <w:t>The Core</w:t>
      </w:r>
      <w:r w:rsidRPr="001228D4">
        <w:rPr>
          <w:rFonts w:ascii="Arial" w:hAnsi="Arial" w:cs="Arial"/>
        </w:rPr>
        <w:t xml:space="preserve"> </w:t>
      </w:r>
      <w:r>
        <w:rPr>
          <w:rFonts w:ascii="Arial" w:hAnsi="Arial" w:cs="Arial"/>
        </w:rPr>
        <w:t xml:space="preserve">also </w:t>
      </w:r>
      <w:r w:rsidRPr="001228D4">
        <w:rPr>
          <w:rFonts w:ascii="Arial" w:hAnsi="Arial" w:cs="Arial"/>
        </w:rPr>
        <w:t>includes a Carl Zeiss Microimaging LSM 700 Confocal Laser Scanning System</w:t>
      </w:r>
      <w:r>
        <w:rPr>
          <w:rFonts w:ascii="Arial" w:hAnsi="Arial" w:cs="Arial"/>
        </w:rPr>
        <w:t xml:space="preserve">. </w:t>
      </w:r>
      <w:r w:rsidRPr="009E0956">
        <w:rPr>
          <w:rStyle w:val="bodytext"/>
          <w:rFonts w:ascii="Arial" w:hAnsi="Arial" w:cs="Arial"/>
        </w:rPr>
        <w:t>Last</w:t>
      </w:r>
      <w:r>
        <w:rPr>
          <w:rStyle w:val="bodytext"/>
          <w:rFonts w:ascii="Arial" w:hAnsi="Arial" w:cs="Arial"/>
        </w:rPr>
        <w:t>ly</w:t>
      </w:r>
      <w:r w:rsidRPr="009E0956">
        <w:rPr>
          <w:rStyle w:val="bodytext"/>
          <w:rFonts w:ascii="Arial" w:hAnsi="Arial" w:cs="Arial"/>
        </w:rPr>
        <w:t>, a Keyence automated microscope is present for routine image capture of fluorescent and brightfield staining experiments. Three additional Core-associated Nikon confocal imaging platforms are located within FAU Jupiter laboratories as dedicated instruments but can be accessed through arrangements with associated investigators. Collectively, these facilities have been designated as a Nikon Center of Excellence, affording FAU Investigators with access to state-of-the art imaging platforms, training opportunities for junior scientists, evaluation opportunities of new imaging technologies</w:t>
      </w:r>
      <w:r>
        <w:rPr>
          <w:rStyle w:val="bodytext"/>
          <w:rFonts w:ascii="Arial" w:hAnsi="Arial" w:cs="Arial"/>
        </w:rPr>
        <w:t>,</w:t>
      </w:r>
      <w:r w:rsidRPr="009E0956">
        <w:rPr>
          <w:rStyle w:val="bodytext"/>
          <w:rFonts w:ascii="Arial" w:hAnsi="Arial" w:cs="Arial"/>
        </w:rPr>
        <w:t xml:space="preserve"> and reduced cost service and purchases</w:t>
      </w:r>
      <w:r>
        <w:rPr>
          <w:rStyle w:val="bodytext"/>
          <w:rFonts w:ascii="Arial" w:hAnsi="Arial" w:cs="Arial"/>
        </w:rPr>
        <w:t>.</w:t>
      </w:r>
      <w:r w:rsidRPr="00925767">
        <w:rPr>
          <w:rFonts w:ascii="Arial" w:hAnsi="Arial" w:cs="Arial"/>
        </w:rPr>
        <w:t xml:space="preserve"> </w:t>
      </w:r>
      <w:r>
        <w:rPr>
          <w:rFonts w:ascii="Arial" w:hAnsi="Arial" w:cs="Arial"/>
        </w:rPr>
        <w:t>The Center of Excellence</w:t>
      </w:r>
      <w:r w:rsidRPr="004F408A">
        <w:rPr>
          <w:rFonts w:ascii="Arial" w:hAnsi="Arial" w:cs="Arial"/>
          <w:spacing w:val="-6"/>
        </w:rPr>
        <w:t xml:space="preserve"> </w:t>
      </w:r>
      <w:r w:rsidRPr="004F408A">
        <w:rPr>
          <w:rFonts w:ascii="Arial" w:hAnsi="Arial" w:cs="Arial"/>
        </w:rPr>
        <w:t>benefit</w:t>
      </w:r>
      <w:r>
        <w:rPr>
          <w:rFonts w:ascii="Arial" w:hAnsi="Arial" w:cs="Arial"/>
        </w:rPr>
        <w:t>s</w:t>
      </w:r>
      <w:r w:rsidRPr="004F408A">
        <w:rPr>
          <w:rFonts w:ascii="Arial" w:hAnsi="Arial" w:cs="Arial"/>
          <w:spacing w:val="-7"/>
        </w:rPr>
        <w:t xml:space="preserve"> </w:t>
      </w:r>
      <w:r w:rsidRPr="004F408A">
        <w:rPr>
          <w:rFonts w:ascii="Arial" w:hAnsi="Arial" w:cs="Arial"/>
          <w:spacing w:val="2"/>
        </w:rPr>
        <w:t>from</w:t>
      </w:r>
      <w:r w:rsidRPr="004F408A">
        <w:rPr>
          <w:rFonts w:ascii="Arial" w:hAnsi="Arial" w:cs="Arial"/>
          <w:spacing w:val="-20"/>
        </w:rPr>
        <w:t xml:space="preserve"> </w:t>
      </w:r>
      <w:r w:rsidRPr="004F408A">
        <w:rPr>
          <w:rFonts w:ascii="Arial" w:hAnsi="Arial" w:cs="Arial"/>
        </w:rPr>
        <w:t>excellent</w:t>
      </w:r>
      <w:r w:rsidRPr="004F408A">
        <w:rPr>
          <w:rFonts w:ascii="Arial" w:hAnsi="Arial" w:cs="Arial"/>
          <w:spacing w:val="-7"/>
        </w:rPr>
        <w:t xml:space="preserve"> </w:t>
      </w:r>
      <w:r w:rsidRPr="004F408A">
        <w:rPr>
          <w:rFonts w:ascii="Arial" w:hAnsi="Arial" w:cs="Arial"/>
        </w:rPr>
        <w:t>support</w:t>
      </w:r>
      <w:r w:rsidRPr="004F408A">
        <w:rPr>
          <w:rFonts w:ascii="Arial" w:hAnsi="Arial" w:cs="Arial"/>
          <w:spacing w:val="-7"/>
        </w:rPr>
        <w:t xml:space="preserve"> </w:t>
      </w:r>
      <w:r w:rsidRPr="004F408A">
        <w:rPr>
          <w:rFonts w:ascii="Arial" w:hAnsi="Arial" w:cs="Arial"/>
        </w:rPr>
        <w:t>by</w:t>
      </w:r>
      <w:r w:rsidRPr="004F408A">
        <w:rPr>
          <w:rFonts w:ascii="Arial" w:hAnsi="Arial" w:cs="Arial"/>
          <w:spacing w:val="-9"/>
        </w:rPr>
        <w:t xml:space="preserve"> </w:t>
      </w:r>
      <w:r w:rsidRPr="004F408A">
        <w:rPr>
          <w:rFonts w:ascii="Arial" w:hAnsi="Arial" w:cs="Arial"/>
          <w:spacing w:val="-4"/>
        </w:rPr>
        <w:t>Nikon</w:t>
      </w:r>
      <w:r w:rsidRPr="004F408A">
        <w:rPr>
          <w:rFonts w:ascii="Arial" w:hAnsi="Arial" w:cs="Arial"/>
          <w:spacing w:val="-6"/>
        </w:rPr>
        <w:t xml:space="preserve"> </w:t>
      </w:r>
      <w:r w:rsidRPr="004F408A">
        <w:rPr>
          <w:rFonts w:ascii="Arial" w:hAnsi="Arial" w:cs="Arial"/>
        </w:rPr>
        <w:t>specialists.</w:t>
      </w:r>
    </w:p>
    <w:p w14:paraId="10287A13" w14:textId="77777777" w:rsidR="00DB7E11" w:rsidRDefault="00DB7E11" w:rsidP="00DB7E11">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sz w:val="22"/>
          <w:szCs w:val="22"/>
        </w:rPr>
        <w:t>FAU Comparative Medicine Core</w:t>
      </w:r>
      <w:r>
        <w:rPr>
          <w:rStyle w:val="normaltextrun"/>
          <w:rFonts w:ascii="Arial" w:hAnsi="Arial" w:cs="Arial"/>
          <w:sz w:val="22"/>
          <w:szCs w:val="22"/>
        </w:rPr>
        <w:t xml:space="preserve">. The animal care and use program at Florida Atlantic University is centralized and directed by a full-time veterinarian, trained in laboratory animal medicine and board certified by the American College for Laboratory Animal Medicine (ACLAM). The veterinarian is supported by a Training Coordinator to fulfill the federal mandate of training all personnel participating in handling, care and experimentation involving animal models. In addition, the animal care program employs an Animal Care Supervisor and several Animal Care Technicians who are certified by AALAS and take care of the daily operations in the various facilities. Health assessment is performed and documented for all animals 7 days per week.  A comprehensive rodent health surveillance program for monitoring pathogenic agents and animal well-being is in place for the animal care program. FAU is accredited by AAALAC International as of 2018, accreditation number 001742.  FAU has an Animal Welfare Assurance on file with NIH-OLAW, (Assurance Number A3883-01).  The FAU Animal Care and Use Program fully complies with the Guide for the Care and Use of Laboratory Animals (The </w:t>
      </w:r>
      <w:r>
        <w:rPr>
          <w:rStyle w:val="normaltextrun"/>
          <w:rFonts w:ascii="Arial" w:hAnsi="Arial" w:cs="Arial"/>
          <w:i/>
          <w:iCs/>
          <w:sz w:val="22"/>
          <w:szCs w:val="22"/>
        </w:rPr>
        <w:t>Guide</w:t>
      </w:r>
      <w:r>
        <w:rPr>
          <w:rStyle w:val="normaltextrun"/>
          <w:rFonts w:ascii="Arial" w:hAnsi="Arial" w:cs="Arial"/>
          <w:sz w:val="22"/>
          <w:szCs w:val="22"/>
        </w:rPr>
        <w:t>), the Public Health Service Policy on the Humane Care and Use of Laboratory Animals (PHS Policy) and all state as well as local regulations. Special attention is given to anesthesia and analgesia to reduce pain/distress when applicable. Pain relief will be provided based upon the approved protocol or if need be, veterinary intervention.</w:t>
      </w:r>
      <w:r>
        <w:rPr>
          <w:rStyle w:val="eop"/>
          <w:rFonts w:ascii="Arial" w:hAnsi="Arial" w:cs="Arial"/>
          <w:sz w:val="22"/>
          <w:szCs w:val="22"/>
        </w:rPr>
        <w:t> </w:t>
      </w:r>
    </w:p>
    <w:p w14:paraId="660097EC" w14:textId="77777777" w:rsidR="00086AB8" w:rsidRDefault="00086AB8" w:rsidP="00BD5323">
      <w:pPr>
        <w:widowControl w:val="0"/>
        <w:adjustRightInd w:val="0"/>
        <w:spacing w:after="0" w:line="240" w:lineRule="auto"/>
        <w:jc w:val="both"/>
        <w:rPr>
          <w:rFonts w:ascii="Arial" w:hAnsi="Arial" w:cs="Arial"/>
          <w:b/>
          <w:sz w:val="24"/>
          <w:szCs w:val="24"/>
          <w:u w:val="single"/>
        </w:rPr>
      </w:pPr>
    </w:p>
    <w:p w14:paraId="76B068D4" w14:textId="77777777" w:rsidR="000A2FF9" w:rsidRDefault="000A2FF9">
      <w:pPr>
        <w:spacing w:line="259" w:lineRule="auto"/>
        <w:rPr>
          <w:rFonts w:ascii="Arial" w:eastAsia="Arial" w:hAnsi="Arial" w:cs="Arial"/>
          <w:b/>
          <w:sz w:val="24"/>
          <w:szCs w:val="24"/>
          <w:u w:val="single"/>
        </w:rPr>
      </w:pPr>
      <w:r>
        <w:rPr>
          <w:rFonts w:ascii="Arial" w:eastAsia="Arial" w:hAnsi="Arial" w:cs="Arial"/>
          <w:b/>
          <w:sz w:val="24"/>
          <w:szCs w:val="24"/>
          <w:u w:val="single"/>
        </w:rPr>
        <w:br w:type="page"/>
      </w:r>
    </w:p>
    <w:p w14:paraId="46F71CB5" w14:textId="5999A734" w:rsidR="001676C9" w:rsidRDefault="00821BAD" w:rsidP="00991F47">
      <w:pPr>
        <w:spacing w:line="259" w:lineRule="auto"/>
        <w:rPr>
          <w:rFonts w:ascii="Arial" w:eastAsia="Arial" w:hAnsi="Arial" w:cs="Arial"/>
          <w:b/>
          <w:sz w:val="24"/>
          <w:szCs w:val="24"/>
          <w:u w:val="single"/>
        </w:rPr>
      </w:pPr>
      <w:r w:rsidRPr="00F41331">
        <w:rPr>
          <w:rFonts w:ascii="Arial" w:eastAsia="Arial" w:hAnsi="Arial" w:cs="Arial"/>
          <w:b/>
          <w:sz w:val="24"/>
          <w:szCs w:val="24"/>
          <w:u w:val="single"/>
        </w:rPr>
        <w:lastRenderedPageBreak/>
        <w:t>Charles E. Schmidt College of Medicine Space and Facilities</w:t>
      </w:r>
    </w:p>
    <w:p w14:paraId="29B6FAF0" w14:textId="576BD2E5" w:rsidR="0037404A" w:rsidRDefault="00F67ED7" w:rsidP="001676C9">
      <w:pPr>
        <w:spacing w:line="240" w:lineRule="auto"/>
        <w:jc w:val="both"/>
        <w:rPr>
          <w:rFonts w:ascii="Arial" w:hAnsi="Arial" w:cs="Arial"/>
          <w:color w:val="333333"/>
        </w:rPr>
      </w:pPr>
      <w:r>
        <w:rPr>
          <w:rFonts w:ascii="Arial" w:hAnsi="Arial" w:cs="Arial"/>
          <w:noProof/>
          <w:color w:val="333333"/>
        </w:rPr>
        <mc:AlternateContent>
          <mc:Choice Requires="wps">
            <w:drawing>
              <wp:anchor distT="0" distB="0" distL="114300" distR="114300" simplePos="0" relativeHeight="251660288" behindDoc="1" locked="0" layoutInCell="1" allowOverlap="1" wp14:anchorId="4D63C4BF" wp14:editId="03F9A6EA">
                <wp:simplePos x="0" y="0"/>
                <wp:positionH relativeFrom="margin">
                  <wp:align>right</wp:align>
                </wp:positionH>
                <wp:positionV relativeFrom="paragraph">
                  <wp:posOffset>2861310</wp:posOffset>
                </wp:positionV>
                <wp:extent cx="2991485" cy="2494280"/>
                <wp:effectExtent l="0" t="0" r="18415" b="20320"/>
                <wp:wrapTight wrapText="bothSides">
                  <wp:wrapPolygon edited="0">
                    <wp:start x="0" y="0"/>
                    <wp:lineTo x="0" y="21611"/>
                    <wp:lineTo x="21595" y="21611"/>
                    <wp:lineTo x="21595"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991485" cy="2494280"/>
                        </a:xfrm>
                        <a:prstGeom prst="rect">
                          <a:avLst/>
                        </a:prstGeom>
                        <a:solidFill>
                          <a:schemeClr val="lt1"/>
                        </a:solidFill>
                        <a:ln w="6350">
                          <a:solidFill>
                            <a:prstClr val="black"/>
                          </a:solidFill>
                        </a:ln>
                      </wps:spPr>
                      <wps:txbx>
                        <w:txbxContent>
                          <w:p w14:paraId="3AEF5379" w14:textId="477CE518" w:rsidR="00730120" w:rsidRDefault="00843746">
                            <w:r>
                              <w:rPr>
                                <w:noProof/>
                              </w:rPr>
                              <w:drawing>
                                <wp:inline distT="0" distB="0" distL="0" distR="0" wp14:anchorId="1D6DAEB9" wp14:editId="74E698BF">
                                  <wp:extent cx="2767965" cy="2304556"/>
                                  <wp:effectExtent l="0" t="0" r="0" b="635"/>
                                  <wp:docPr id="6" name="Picture 6" descr="A building with palm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uilding with palm trees&#10;&#10;Description automatically generated with low confidence"/>
                                          <pic:cNvPicPr/>
                                        </pic:nvPicPr>
                                        <pic:blipFill>
                                          <a:blip r:embed="rId11"/>
                                          <a:stretch>
                                            <a:fillRect/>
                                          </a:stretch>
                                        </pic:blipFill>
                                        <pic:spPr>
                                          <a:xfrm>
                                            <a:off x="0" y="0"/>
                                            <a:ext cx="2785771" cy="23193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3C4BF" id="_x0000_t202" coordsize="21600,21600" o:spt="202" path="m,l,21600r21600,l21600,xe">
                <v:stroke joinstyle="miter"/>
                <v:path gradientshapeok="t" o:connecttype="rect"/>
              </v:shapetype>
              <v:shape id="Text Box 4" o:spid="_x0000_s1026" type="#_x0000_t202" style="position:absolute;left:0;text-align:left;margin-left:184.35pt;margin-top:225.3pt;width:235.55pt;height:196.4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" fillcolor="white [3201]" strokeweight=".5pt">
                <v:textbox>
                  <w:txbxContent>
                    <w:p w14:paraId="3AEF5379" w14:textId="477CE518" w:rsidR="00730120" w:rsidRDefault="00843746">
                      <w:r>
                        <w:rPr>
                          <w:noProof/>
                        </w:rPr>
                        <w:drawing>
                          <wp:inline distT="0" distB="0" distL="0" distR="0" wp14:anchorId="1D6DAEB9" wp14:editId="74E698BF">
                            <wp:extent cx="2767965" cy="2304556"/>
                            <wp:effectExtent l="0" t="0" r="0" b="635"/>
                            <wp:docPr id="6" name="Picture 6" descr="A building with palm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uilding with palm trees&#10;&#10;Description automatically generated with low confidence"/>
                                    <pic:cNvPicPr/>
                                  </pic:nvPicPr>
                                  <pic:blipFill>
                                    <a:blip r:embed="rId11"/>
                                    <a:stretch>
                                      <a:fillRect/>
                                    </a:stretch>
                                  </pic:blipFill>
                                  <pic:spPr>
                                    <a:xfrm>
                                      <a:off x="0" y="0"/>
                                      <a:ext cx="2785771" cy="2319381"/>
                                    </a:xfrm>
                                    <a:prstGeom prst="rect">
                                      <a:avLst/>
                                    </a:prstGeom>
                                  </pic:spPr>
                                </pic:pic>
                              </a:graphicData>
                            </a:graphic>
                          </wp:inline>
                        </w:drawing>
                      </w:r>
                    </w:p>
                  </w:txbxContent>
                </v:textbox>
                <w10:wrap type="tight" anchorx="margin"/>
              </v:shape>
            </w:pict>
          </mc:Fallback>
        </mc:AlternateContent>
      </w:r>
      <w:r w:rsidR="001676C9" w:rsidRPr="00991F47">
        <w:rPr>
          <w:rFonts w:ascii="Arial" w:eastAsia="Arial" w:hAnsi="Arial" w:cs="Arial"/>
          <w:bCs/>
        </w:rPr>
        <w:t xml:space="preserve">Located on the Boca Raton campus, </w:t>
      </w:r>
      <w:r w:rsidR="007504DA">
        <w:rPr>
          <w:rStyle w:val="normaltextrun"/>
          <w:rFonts w:ascii="Arial" w:hAnsi="Arial" w:cs="Arial"/>
        </w:rPr>
        <w:t xml:space="preserve">the </w:t>
      </w:r>
      <w:r w:rsidR="007504DA">
        <w:rPr>
          <w:rStyle w:val="normaltextrun"/>
          <w:rFonts w:ascii="Arial" w:hAnsi="Arial" w:cs="Arial"/>
          <w:b/>
          <w:bCs/>
        </w:rPr>
        <w:t>Charles E. Schmidt College of Medicine (COM)</w:t>
      </w:r>
      <w:r w:rsidR="007504DA">
        <w:rPr>
          <w:rStyle w:val="normaltextrun"/>
          <w:rFonts w:ascii="Arial" w:hAnsi="Arial" w:cs="Arial"/>
        </w:rPr>
        <w:t xml:space="preserve"> was officially approved to grant the Medical Degree by the Florida Universities Board of Trustees and the state of Florida in 2010. Currently COM </w:t>
      </w:r>
      <w:r w:rsidR="00D51F7D">
        <w:rPr>
          <w:rStyle w:val="normaltextrun"/>
          <w:rFonts w:ascii="Arial" w:hAnsi="Arial" w:cs="Arial"/>
        </w:rPr>
        <w:t xml:space="preserve">is housed in </w:t>
      </w:r>
      <w:r w:rsidR="003F3E0E" w:rsidRPr="00991F47">
        <w:rPr>
          <w:rFonts w:ascii="Arial" w:eastAsia="Arial" w:hAnsi="Arial" w:cs="Arial"/>
          <w:bCs/>
        </w:rPr>
        <w:t>two buildings</w:t>
      </w:r>
      <w:r w:rsidR="005568E1" w:rsidRPr="00B5527C">
        <w:rPr>
          <w:rFonts w:ascii="Arial" w:eastAsia="Arial" w:hAnsi="Arial" w:cs="Arial"/>
          <w:bCs/>
        </w:rPr>
        <w:t xml:space="preserve"> (Biomedical Center- 71, Medical Education-104), which together </w:t>
      </w:r>
      <w:r w:rsidR="003F3E0E" w:rsidRPr="00991F47">
        <w:rPr>
          <w:rFonts w:ascii="Arial" w:eastAsia="Arial" w:hAnsi="Arial" w:cs="Arial"/>
          <w:bCs/>
        </w:rPr>
        <w:t>hous</w:t>
      </w:r>
      <w:r w:rsidR="005568E1" w:rsidRPr="00B5527C">
        <w:rPr>
          <w:rFonts w:ascii="Arial" w:eastAsia="Arial" w:hAnsi="Arial" w:cs="Arial"/>
          <w:bCs/>
        </w:rPr>
        <w:t>e</w:t>
      </w:r>
      <w:r w:rsidR="001912A5" w:rsidRPr="00991F47">
        <w:rPr>
          <w:rFonts w:ascii="Arial" w:eastAsia="Arial" w:hAnsi="Arial" w:cs="Arial"/>
          <w:bCs/>
        </w:rPr>
        <w:t xml:space="preserve"> ~90 full-time faculty, ~256 medical st</w:t>
      </w:r>
      <w:r w:rsidR="00EF45E4" w:rsidRPr="00991F47">
        <w:rPr>
          <w:rFonts w:ascii="Arial" w:eastAsia="Arial" w:hAnsi="Arial" w:cs="Arial"/>
          <w:bCs/>
        </w:rPr>
        <w:t xml:space="preserve">udents, </w:t>
      </w:r>
      <w:r w:rsidR="0019589E" w:rsidRPr="00B5527C">
        <w:rPr>
          <w:rFonts w:ascii="Arial" w:eastAsia="Arial" w:hAnsi="Arial" w:cs="Arial"/>
          <w:bCs/>
        </w:rPr>
        <w:t xml:space="preserve">and </w:t>
      </w:r>
      <w:r w:rsidR="00EF45E4" w:rsidRPr="00991F47">
        <w:rPr>
          <w:rFonts w:ascii="Arial" w:eastAsia="Arial" w:hAnsi="Arial" w:cs="Arial"/>
          <w:bCs/>
        </w:rPr>
        <w:t>~100 graduate students</w:t>
      </w:r>
      <w:r w:rsidR="0019589E" w:rsidRPr="00B5527C">
        <w:rPr>
          <w:rFonts w:ascii="Arial" w:eastAsia="Arial" w:hAnsi="Arial" w:cs="Arial"/>
          <w:bCs/>
        </w:rPr>
        <w:t xml:space="preserve">. </w:t>
      </w:r>
      <w:r w:rsidR="00146A03" w:rsidRPr="00991F47">
        <w:rPr>
          <w:rFonts w:ascii="Arial" w:eastAsia="Arial" w:hAnsi="Arial" w:cs="Arial"/>
          <w:bCs/>
        </w:rPr>
        <w:t>As</w:t>
      </w:r>
      <w:r w:rsidR="00146A03" w:rsidRPr="00991F47">
        <w:rPr>
          <w:rFonts w:ascii="Arial" w:eastAsia="Arial" w:hAnsi="Arial" w:cs="Arial"/>
          <w:bCs/>
          <w:sz w:val="24"/>
          <w:szCs w:val="24"/>
        </w:rPr>
        <w:t xml:space="preserve"> </w:t>
      </w:r>
      <w:r w:rsidR="00026149" w:rsidRPr="00547A14">
        <w:rPr>
          <w:rFonts w:ascii="Arial" w:hAnsi="Arial" w:cs="Arial"/>
          <w:iCs/>
          <w:color w:val="222222"/>
          <w:shd w:val="clear" w:color="auto" w:fill="FFFFFF"/>
        </w:rPr>
        <w:t>one of newest and rapidly rising medical schools from among 1</w:t>
      </w:r>
      <w:r w:rsidR="000A2FF9">
        <w:rPr>
          <w:rFonts w:ascii="Arial" w:hAnsi="Arial" w:cs="Arial"/>
          <w:iCs/>
          <w:color w:val="222222"/>
          <w:shd w:val="clear" w:color="auto" w:fill="FFFFFF"/>
        </w:rPr>
        <w:t>92</w:t>
      </w:r>
      <w:r w:rsidR="00026149" w:rsidRPr="00547A14">
        <w:rPr>
          <w:rFonts w:ascii="Arial" w:hAnsi="Arial" w:cs="Arial"/>
          <w:iCs/>
          <w:color w:val="222222"/>
          <w:shd w:val="clear" w:color="auto" w:fill="FFFFFF"/>
        </w:rPr>
        <w:t xml:space="preserve"> accredited medical</w:t>
      </w:r>
      <w:r w:rsidR="000A2FF9">
        <w:rPr>
          <w:rFonts w:ascii="Arial" w:hAnsi="Arial" w:cs="Arial"/>
          <w:iCs/>
          <w:color w:val="222222"/>
          <w:shd w:val="clear" w:color="auto" w:fill="FFFFFF"/>
        </w:rPr>
        <w:t xml:space="preserve"> schools</w:t>
      </w:r>
      <w:r w:rsidR="00026149" w:rsidRPr="00547A14">
        <w:rPr>
          <w:rFonts w:ascii="Arial" w:hAnsi="Arial" w:cs="Arial"/>
          <w:iCs/>
          <w:color w:val="222222"/>
          <w:shd w:val="clear" w:color="auto" w:fill="FFFFFF"/>
        </w:rPr>
        <w:t xml:space="preserve"> in the U.S</w:t>
      </w:r>
      <w:r w:rsidR="00146A03">
        <w:rPr>
          <w:rFonts w:ascii="Arial" w:hAnsi="Arial" w:cs="Arial"/>
          <w:iCs/>
          <w:color w:val="222222"/>
          <w:shd w:val="clear" w:color="auto" w:fill="FFFFFF"/>
        </w:rPr>
        <w:t xml:space="preserve">, </w:t>
      </w:r>
      <w:r w:rsidR="007028D6">
        <w:rPr>
          <w:rFonts w:ascii="Arial" w:hAnsi="Arial" w:cs="Arial"/>
          <w:iCs/>
          <w:color w:val="222222"/>
          <w:shd w:val="clear" w:color="auto" w:fill="FFFFFF"/>
        </w:rPr>
        <w:t xml:space="preserve">COM </w:t>
      </w:r>
      <w:r w:rsidR="00026149" w:rsidRPr="00547A14">
        <w:rPr>
          <w:rFonts w:ascii="Arial" w:hAnsi="Arial" w:cs="Arial"/>
          <w:iCs/>
          <w:color w:val="222222"/>
          <w:shd w:val="clear" w:color="auto" w:fill="FFFFFF"/>
        </w:rPr>
        <w:t>has been nationally recognized for its innovative educational and research programs</w:t>
      </w:r>
      <w:r w:rsidR="003B57B0">
        <w:rPr>
          <w:rFonts w:ascii="Arial" w:hAnsi="Arial" w:cs="Arial"/>
          <w:iCs/>
          <w:color w:val="222222"/>
          <w:shd w:val="clear" w:color="auto" w:fill="FFFFFF"/>
        </w:rPr>
        <w:t xml:space="preserve">, including </w:t>
      </w:r>
      <w:r w:rsidR="00026149" w:rsidRPr="00547A14">
        <w:rPr>
          <w:rFonts w:ascii="Arial" w:hAnsi="Arial" w:cs="Arial"/>
          <w:iCs/>
          <w:color w:val="222222"/>
          <w:shd w:val="clear" w:color="auto" w:fill="FFFFFF"/>
        </w:rPr>
        <w:t>high marks for serving populations in need (#61), graduates practicing in rural areas (#85), and diversity of its trainees (#35)</w:t>
      </w:r>
      <w:r w:rsidR="00026149">
        <w:rPr>
          <w:rFonts w:ascii="Arial" w:hAnsi="Arial" w:cs="Arial"/>
          <w:iCs/>
          <w:color w:val="222222"/>
          <w:shd w:val="clear" w:color="auto" w:fill="FFFFFF"/>
        </w:rPr>
        <w:t xml:space="preserve"> i</w:t>
      </w:r>
      <w:r w:rsidR="00026149" w:rsidRPr="00547A14">
        <w:rPr>
          <w:rFonts w:ascii="Arial" w:hAnsi="Arial" w:cs="Arial"/>
          <w:iCs/>
          <w:color w:val="222222"/>
          <w:shd w:val="clear" w:color="auto" w:fill="FFFFFF"/>
        </w:rPr>
        <w:t xml:space="preserve">n the </w:t>
      </w:r>
      <w:r w:rsidR="00026149" w:rsidRPr="000908A0">
        <w:rPr>
          <w:rFonts w:ascii="Arial" w:hAnsi="Arial" w:cs="Arial"/>
          <w:i/>
          <w:iCs/>
          <w:color w:val="222222"/>
          <w:shd w:val="clear" w:color="auto" w:fill="FFFFFF"/>
        </w:rPr>
        <w:t>2023 U.S. News and World Report</w:t>
      </w:r>
      <w:r w:rsidR="00026149" w:rsidRPr="00547A14">
        <w:rPr>
          <w:rFonts w:ascii="Arial" w:hAnsi="Arial" w:cs="Arial"/>
          <w:iCs/>
          <w:color w:val="222222"/>
          <w:shd w:val="clear" w:color="auto" w:fill="FFFFFF"/>
        </w:rPr>
        <w:t xml:space="preserve">. </w:t>
      </w:r>
      <w:r w:rsidR="000C3C63">
        <w:rPr>
          <w:rFonts w:ascii="Arial" w:hAnsi="Arial" w:cs="Arial"/>
          <w:iCs/>
          <w:color w:val="222222"/>
          <w:shd w:val="clear" w:color="auto" w:fill="FFFFFF"/>
        </w:rPr>
        <w:t>Over the past five years, t</w:t>
      </w:r>
      <w:r w:rsidR="00026149" w:rsidRPr="00547A14">
        <w:rPr>
          <w:rFonts w:ascii="Arial" w:hAnsi="Arial" w:cs="Arial"/>
          <w:color w:val="333333"/>
        </w:rPr>
        <w:t>his rise in ranking is driven by several achievements, which include LCME re-accreditation for the full eight years, a stellar record of student success metrics, and a nearly 3-fold increase in external research funding. Collectively, these ac</w:t>
      </w:r>
      <w:r w:rsidR="000C3C63">
        <w:rPr>
          <w:rFonts w:ascii="Arial" w:hAnsi="Arial" w:cs="Arial"/>
          <w:color w:val="333333"/>
        </w:rPr>
        <w:t xml:space="preserve">complishments </w:t>
      </w:r>
      <w:r w:rsidR="00026149" w:rsidRPr="00547A14">
        <w:rPr>
          <w:rFonts w:ascii="Arial" w:hAnsi="Arial" w:cs="Arial"/>
          <w:color w:val="333333"/>
        </w:rPr>
        <w:t>attest to a growing record of excellence in medical and graduate education programs, which are continuously expanding to include dual degree programs (e.g., BS/MD, MD/MBA, MD/PhD) designed to meet regional and national workforce needs development. Notably, COM is seeking to transform the practice of medicine by engaging in cutting-edge research to address the genomic and socioeconomic factors driving chronic diseases, which receives nearly $30 million support from the National Institutes of Health (NIH), and by developing innovative educational programming in precision medicine, which includes a new “Genomics and Predictive Health” graduate certification</w:t>
      </w:r>
      <w:r w:rsidR="00494551">
        <w:rPr>
          <w:rFonts w:ascii="Arial" w:hAnsi="Arial" w:cs="Arial"/>
          <w:color w:val="333333"/>
        </w:rPr>
        <w:t xml:space="preserve">, along with a proposed program in </w:t>
      </w:r>
      <w:r w:rsidR="00790255">
        <w:rPr>
          <w:rFonts w:ascii="Arial" w:hAnsi="Arial" w:cs="Arial"/>
          <w:color w:val="333333"/>
        </w:rPr>
        <w:t xml:space="preserve">predictive </w:t>
      </w:r>
      <w:r w:rsidR="00494551">
        <w:rPr>
          <w:rFonts w:ascii="Arial" w:hAnsi="Arial" w:cs="Arial"/>
          <w:color w:val="333333"/>
        </w:rPr>
        <w:t xml:space="preserve">population health. </w:t>
      </w:r>
    </w:p>
    <w:p w14:paraId="6E3EA72E" w14:textId="1DE0E6E7" w:rsidR="00821BAD" w:rsidRDefault="00F67ED7" w:rsidP="00F67ED7">
      <w:pPr>
        <w:spacing w:line="259" w:lineRule="auto"/>
        <w:rPr>
          <w:rFonts w:ascii="Arial" w:hAnsi="Arial" w:cs="Arial"/>
          <w:color w:val="333333"/>
        </w:rPr>
      </w:pPr>
      <w:r>
        <w:rPr>
          <w:rFonts w:ascii="Arial" w:hAnsi="Arial" w:cs="Arial"/>
          <w:noProof/>
          <w:color w:val="333333"/>
        </w:rPr>
        <mc:AlternateContent>
          <mc:Choice Requires="wps">
            <w:drawing>
              <wp:anchor distT="0" distB="0" distL="114300" distR="114300" simplePos="0" relativeHeight="251659264" behindDoc="1" locked="0" layoutInCell="1" allowOverlap="1" wp14:anchorId="5275E70C" wp14:editId="46DFB6BD">
                <wp:simplePos x="0" y="0"/>
                <wp:positionH relativeFrom="column">
                  <wp:posOffset>-17145</wp:posOffset>
                </wp:positionH>
                <wp:positionV relativeFrom="paragraph">
                  <wp:posOffset>16510</wp:posOffset>
                </wp:positionV>
                <wp:extent cx="3747770" cy="2520315"/>
                <wp:effectExtent l="0" t="0" r="24130" b="13335"/>
                <wp:wrapTight wrapText="bothSides">
                  <wp:wrapPolygon edited="0">
                    <wp:start x="0" y="0"/>
                    <wp:lineTo x="0" y="21551"/>
                    <wp:lineTo x="21629" y="21551"/>
                    <wp:lineTo x="2162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747770" cy="2520315"/>
                        </a:xfrm>
                        <a:prstGeom prst="rect">
                          <a:avLst/>
                        </a:prstGeom>
                        <a:solidFill>
                          <a:schemeClr val="lt1"/>
                        </a:solidFill>
                        <a:ln w="6350">
                          <a:solidFill>
                            <a:prstClr val="black"/>
                          </a:solidFill>
                        </a:ln>
                      </wps:spPr>
                      <wps:txbx>
                        <w:txbxContent>
                          <w:p w14:paraId="30638EE8" w14:textId="307487EB" w:rsidR="00730120" w:rsidRDefault="00730120">
                            <w:r w:rsidRPr="000C62D6">
                              <w:rPr>
                                <w:rFonts w:ascii="Arial" w:eastAsia="Arial" w:hAnsi="Arial" w:cs="Arial"/>
                                <w:noProof/>
                                <w:sz w:val="24"/>
                                <w:szCs w:val="24"/>
                              </w:rPr>
                              <w:drawing>
                                <wp:inline distT="0" distB="0" distL="0" distR="0" wp14:anchorId="018F0A75" wp14:editId="10979A77">
                                  <wp:extent cx="3544711" cy="2316017"/>
                                  <wp:effectExtent l="0" t="0" r="0" b="8255"/>
                                  <wp:docPr id="2" name="Picture 4" descr="A picture containing building, outdoor&#10;&#10;Description automatically generated">
                                    <a:extLst xmlns:a="http://schemas.openxmlformats.org/drawingml/2006/main">
                                      <a:ext uri="{FF2B5EF4-FFF2-40B4-BE49-F238E27FC236}">
                                        <a16:creationId xmlns:a16="http://schemas.microsoft.com/office/drawing/2014/main" id="{3EA12475-FF9A-410E-A94B-F52E4E664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building, outdoor&#10;&#10;Description automatically generated">
                                            <a:extLst>
                                              <a:ext uri="{FF2B5EF4-FFF2-40B4-BE49-F238E27FC236}">
                                                <a16:creationId xmlns:a16="http://schemas.microsoft.com/office/drawing/2014/main" id="{3EA12475-FF9A-410E-A94B-F52E4E66480B}"/>
                                              </a:ext>
                                            </a:extLst>
                                          </pic:cNvPr>
                                          <pic:cNvPicPr>
                                            <a:picLocks noChangeAspect="1"/>
                                          </pic:cNvPicPr>
                                        </pic:nvPicPr>
                                        <pic:blipFill>
                                          <a:blip r:embed="rId12"/>
                                          <a:stretch>
                                            <a:fillRect/>
                                          </a:stretch>
                                        </pic:blipFill>
                                        <pic:spPr>
                                          <a:xfrm>
                                            <a:off x="0" y="0"/>
                                            <a:ext cx="3585111" cy="23424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5E70C" id="Text Box 1" o:spid="_x0000_s1027" type="#_x0000_t202" style="position:absolute;margin-left:-1.35pt;margin-top:1.3pt;width:295.1pt;height:19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" fillcolor="white [3201]" strokeweight=".5pt">
                <v:textbox>
                  <w:txbxContent>
                    <w:p w14:paraId="30638EE8" w14:textId="307487EB" w:rsidR="00730120" w:rsidRDefault="00730120">
                      <w:r w:rsidRPr="000C62D6">
                        <w:rPr>
                          <w:rFonts w:ascii="Arial" w:eastAsia="Arial" w:hAnsi="Arial" w:cs="Arial"/>
                          <w:noProof/>
                          <w:sz w:val="24"/>
                          <w:szCs w:val="24"/>
                        </w:rPr>
                        <w:drawing>
                          <wp:inline distT="0" distB="0" distL="0" distR="0" wp14:anchorId="018F0A75" wp14:editId="10979A77">
                            <wp:extent cx="3544711" cy="2316017"/>
                            <wp:effectExtent l="0" t="0" r="0" b="8255"/>
                            <wp:docPr id="2" name="Picture 4" descr="A picture containing building, outdoor&#10;&#10;Description automatically generated">
                              <a:extLst xmlns:a="http://schemas.openxmlformats.org/drawingml/2006/main">
                                <a:ext uri="{FF2B5EF4-FFF2-40B4-BE49-F238E27FC236}">
                                  <a16:creationId xmlns:a16="http://schemas.microsoft.com/office/drawing/2014/main" id="{3EA12475-FF9A-410E-A94B-F52E4E664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building, outdoor&#10;&#10;Description automatically generated">
                                      <a:extLst>
                                        <a:ext uri="{FF2B5EF4-FFF2-40B4-BE49-F238E27FC236}">
                                          <a16:creationId xmlns:a16="http://schemas.microsoft.com/office/drawing/2014/main" id="{3EA12475-FF9A-410E-A94B-F52E4E66480B}"/>
                                        </a:ext>
                                      </a:extLst>
                                    </pic:cNvPr>
                                    <pic:cNvPicPr>
                                      <a:picLocks noChangeAspect="1"/>
                                    </pic:cNvPicPr>
                                  </pic:nvPicPr>
                                  <pic:blipFill>
                                    <a:blip r:embed="rId12"/>
                                    <a:stretch>
                                      <a:fillRect/>
                                    </a:stretch>
                                  </pic:blipFill>
                                  <pic:spPr>
                                    <a:xfrm>
                                      <a:off x="0" y="0"/>
                                      <a:ext cx="3585111" cy="2342413"/>
                                    </a:xfrm>
                                    <a:prstGeom prst="rect">
                                      <a:avLst/>
                                    </a:prstGeom>
                                  </pic:spPr>
                                </pic:pic>
                              </a:graphicData>
                            </a:graphic>
                          </wp:inline>
                        </w:drawing>
                      </w:r>
                    </w:p>
                  </w:txbxContent>
                </v:textbox>
                <w10:wrap type="tight"/>
              </v:shape>
            </w:pict>
          </mc:Fallback>
        </mc:AlternateContent>
      </w:r>
      <w:r w:rsidR="00193A02">
        <w:rPr>
          <w:rFonts w:ascii="Arial" w:hAnsi="Arial" w:cs="Arial"/>
          <w:color w:val="333333"/>
        </w:rPr>
        <w:t xml:space="preserve">Under new leadership, Dean Pilitsis </w:t>
      </w:r>
      <w:r w:rsidR="00B5527C">
        <w:rPr>
          <w:rFonts w:ascii="Arial" w:hAnsi="Arial" w:cs="Arial"/>
          <w:color w:val="333333"/>
        </w:rPr>
        <w:t xml:space="preserve">has re-dedicated </w:t>
      </w:r>
      <w:r w:rsidR="0037404A">
        <w:rPr>
          <w:rFonts w:ascii="Arial" w:hAnsi="Arial" w:cs="Arial"/>
          <w:color w:val="333333"/>
        </w:rPr>
        <w:t xml:space="preserve">our mission to be “Of the Community, For the Community”. </w:t>
      </w:r>
      <w:r w:rsidR="00D43339" w:rsidRPr="00547A14">
        <w:rPr>
          <w:rFonts w:ascii="Arial" w:hAnsi="Arial" w:cs="Arial"/>
        </w:rPr>
        <w:t>As a community-based medical school, COM demonstrate</w:t>
      </w:r>
      <w:r w:rsidR="00B5527C">
        <w:rPr>
          <w:rFonts w:ascii="Arial" w:hAnsi="Arial" w:cs="Arial"/>
        </w:rPr>
        <w:t>s</w:t>
      </w:r>
      <w:r w:rsidR="00D43339" w:rsidRPr="00547A14">
        <w:rPr>
          <w:rFonts w:ascii="Arial" w:hAnsi="Arial" w:cs="Arial"/>
        </w:rPr>
        <w:t xml:space="preserve"> a record of excellence in serving populations in need by offering opportunities for students and residents in Caridad Clinic, Mission Clinic, and Boca Resident Clinic. Specifically, Dr. Mary Labanowski works with medical students and patients to provide care to underserved populations at the Caridad Clinic. She uses this opportunity to teach students about clinical exam and reasoning skills when working in this challenging setting. Through service-learning projects at the Caridad Clinic and Mission Clinic, COM students gain early exposure to underrepresented patient populations, allowing them to experience firsthand issues with access to healthcare and social determinants of health. These initiatives demonstrate our commitment to serve the uninsured and underserved community in South Florida. Furthering this mission, </w:t>
      </w:r>
      <w:bookmarkStart w:id="3" w:name="_Hlk100219679"/>
      <w:r w:rsidR="00D43339" w:rsidRPr="00547A14">
        <w:rPr>
          <w:rFonts w:ascii="Arial" w:hAnsi="Arial" w:cs="Arial"/>
          <w:color w:val="333333"/>
        </w:rPr>
        <w:t xml:space="preserve">our Emergency Medicine (EM) Department is </w:t>
      </w:r>
      <w:r w:rsidR="00017A55">
        <w:rPr>
          <w:rFonts w:ascii="Arial" w:hAnsi="Arial" w:cs="Arial"/>
          <w:color w:val="333333"/>
        </w:rPr>
        <w:t xml:space="preserve">working </w:t>
      </w:r>
      <w:r w:rsidR="00D43339" w:rsidRPr="00547A14">
        <w:rPr>
          <w:rFonts w:ascii="Arial" w:hAnsi="Arial" w:cs="Arial"/>
          <w:color w:val="333333"/>
        </w:rPr>
        <w:t xml:space="preserve">with local constituents (Dr. Angus Jameson, Director of EM services for the state; Dr. Terry Cohen, Medical Director of Boca Fire Rescue; and Chief John Treanor, Director of EMS in Boca Raton) to improve care in pre-hospital medicine with a focus on </w:t>
      </w:r>
      <w:bookmarkEnd w:id="3"/>
      <w:r w:rsidR="00D43339" w:rsidRPr="00547A14">
        <w:rPr>
          <w:rFonts w:ascii="Arial" w:hAnsi="Arial" w:cs="Arial"/>
          <w:color w:val="333333"/>
        </w:rPr>
        <w:t>addiction medicine, psychiatry, and physical medicine. Our team has gained access to national databases to inform the work needed for pre-hospital medicine and ha</w:t>
      </w:r>
      <w:r w:rsidR="00031DB3">
        <w:rPr>
          <w:rFonts w:ascii="Arial" w:hAnsi="Arial" w:cs="Arial"/>
          <w:color w:val="333333"/>
        </w:rPr>
        <w:t>s</w:t>
      </w:r>
      <w:r w:rsidR="00D43339" w:rsidRPr="00547A14">
        <w:rPr>
          <w:rFonts w:ascii="Arial" w:hAnsi="Arial" w:cs="Arial"/>
          <w:color w:val="333333"/>
        </w:rPr>
        <w:t xml:space="preserve"> experience in these </w:t>
      </w:r>
      <w:r w:rsidR="00031DB3">
        <w:rPr>
          <w:rFonts w:ascii="Arial" w:hAnsi="Arial" w:cs="Arial"/>
          <w:color w:val="333333"/>
        </w:rPr>
        <w:t xml:space="preserve">areas, </w:t>
      </w:r>
      <w:r w:rsidR="00D43339" w:rsidRPr="00547A14">
        <w:rPr>
          <w:rFonts w:ascii="Arial" w:hAnsi="Arial" w:cs="Arial"/>
          <w:color w:val="333333"/>
        </w:rPr>
        <w:t xml:space="preserve">including current funding in falls in the elderly causing head trauma. </w:t>
      </w:r>
      <w:r w:rsidR="002A4F3D">
        <w:rPr>
          <w:rFonts w:ascii="Arial" w:hAnsi="Arial" w:cs="Arial"/>
          <w:color w:val="333333"/>
        </w:rPr>
        <w:t xml:space="preserve">By partnering </w:t>
      </w:r>
      <w:r w:rsidR="00D43339" w:rsidRPr="00547A14">
        <w:rPr>
          <w:rFonts w:ascii="Arial" w:hAnsi="Arial" w:cs="Arial"/>
          <w:color w:val="333333"/>
        </w:rPr>
        <w:t>the Colleges of Nursing, Social Work, Arts and Letters (Public health administration), Science (Exercise Science), Undergraduate/Honors college (Pre-med research experience</w:t>
      </w:r>
      <w:r w:rsidR="001C6396">
        <w:rPr>
          <w:rFonts w:ascii="Arial" w:hAnsi="Arial" w:cs="Arial"/>
          <w:color w:val="333333"/>
        </w:rPr>
        <w:t>s</w:t>
      </w:r>
      <w:r w:rsidR="00D43339" w:rsidRPr="00547A14">
        <w:rPr>
          <w:rFonts w:ascii="Arial" w:hAnsi="Arial" w:cs="Arial"/>
          <w:color w:val="333333"/>
        </w:rPr>
        <w:t>)</w:t>
      </w:r>
      <w:r w:rsidR="002A4F3D">
        <w:rPr>
          <w:rFonts w:ascii="Arial" w:hAnsi="Arial" w:cs="Arial"/>
          <w:color w:val="333333"/>
        </w:rPr>
        <w:t xml:space="preserve">, we </w:t>
      </w:r>
      <w:r w:rsidR="00F43EA9">
        <w:rPr>
          <w:rFonts w:ascii="Arial" w:hAnsi="Arial" w:cs="Arial"/>
          <w:color w:val="333333"/>
        </w:rPr>
        <w:t>determine how to b</w:t>
      </w:r>
      <w:r w:rsidR="00D43339" w:rsidRPr="00547A14">
        <w:rPr>
          <w:rFonts w:ascii="Arial" w:hAnsi="Arial" w:cs="Arial"/>
          <w:color w:val="333333"/>
        </w:rPr>
        <w:t xml:space="preserve">est ensure safety with these novel treatment paradigms and iteratively refine algorithms while monitoring outcomes. </w:t>
      </w:r>
      <w:r w:rsidR="008B6ED2">
        <w:rPr>
          <w:rFonts w:ascii="Arial" w:hAnsi="Arial" w:cs="Arial"/>
          <w:color w:val="333333"/>
        </w:rPr>
        <w:t xml:space="preserve">Finally, we </w:t>
      </w:r>
      <w:r w:rsidR="00026149" w:rsidRPr="00547A14">
        <w:rPr>
          <w:rFonts w:ascii="Arial" w:hAnsi="Arial" w:cs="Arial"/>
          <w:color w:val="333333"/>
        </w:rPr>
        <w:t xml:space="preserve">also collaborate across colleges with AI and data science experts to model not only the data but also best practices </w:t>
      </w:r>
      <w:r w:rsidR="00026149" w:rsidRPr="00547A14">
        <w:rPr>
          <w:rFonts w:ascii="Arial" w:hAnsi="Arial" w:cs="Arial"/>
          <w:color w:val="333333"/>
        </w:rPr>
        <w:lastRenderedPageBreak/>
        <w:t>for care delivery and cost savings. Altogether,</w:t>
      </w:r>
      <w:r w:rsidR="00B711CC">
        <w:rPr>
          <w:rFonts w:ascii="Arial" w:hAnsi="Arial" w:cs="Arial"/>
          <w:color w:val="333333"/>
        </w:rPr>
        <w:t xml:space="preserve"> </w:t>
      </w:r>
      <w:r w:rsidR="00026149" w:rsidRPr="00547A14">
        <w:rPr>
          <w:rFonts w:ascii="Arial" w:hAnsi="Arial" w:cs="Arial"/>
          <w:color w:val="333333"/>
        </w:rPr>
        <w:t xml:space="preserve"> we seek to differentiate ourselves from other medical schools by providing an innovative, interprofessional education focused on delivery of personalized, data driven patient care at places where patients reside.</w:t>
      </w:r>
    </w:p>
    <w:p w14:paraId="38EBAE97" w14:textId="0E817A0C" w:rsidR="00086AB8" w:rsidRDefault="00086AB8" w:rsidP="00F67ED7">
      <w:pPr>
        <w:spacing w:line="259" w:lineRule="auto"/>
        <w:rPr>
          <w:rFonts w:ascii="Arial" w:eastAsia="Times New Roman" w:hAnsi="Arial" w:cs="Arial"/>
          <w:b/>
          <w:sz w:val="24"/>
          <w:szCs w:val="24"/>
          <w:u w:val="single"/>
        </w:rPr>
      </w:pPr>
      <w:r w:rsidRPr="00E449C4">
        <w:rPr>
          <w:rFonts w:ascii="Arial" w:eastAsia="Times New Roman" w:hAnsi="Arial" w:cs="Arial"/>
          <w:b/>
          <w:sz w:val="24"/>
          <w:szCs w:val="24"/>
          <w:u w:val="single"/>
        </w:rPr>
        <w:t xml:space="preserve">College of Medicine </w:t>
      </w:r>
      <w:r w:rsidR="00E457D9">
        <w:rPr>
          <w:rFonts w:ascii="Arial" w:eastAsia="Times New Roman" w:hAnsi="Arial" w:cs="Arial"/>
          <w:b/>
          <w:sz w:val="24"/>
          <w:szCs w:val="24"/>
          <w:u w:val="single"/>
        </w:rPr>
        <w:t>Cores, Equipment and Services</w:t>
      </w:r>
    </w:p>
    <w:p w14:paraId="62E841AD" w14:textId="032C7EE4" w:rsidR="00E457D9" w:rsidRDefault="00E457D9" w:rsidP="00BD5323">
      <w:pPr>
        <w:spacing w:after="0" w:line="240" w:lineRule="auto"/>
        <w:jc w:val="both"/>
        <w:rPr>
          <w:rFonts w:ascii="Arial" w:eastAsia="Times New Roman" w:hAnsi="Arial" w:cs="Arial"/>
          <w:b/>
          <w:sz w:val="24"/>
          <w:szCs w:val="24"/>
          <w:u w:val="single"/>
        </w:rPr>
      </w:pPr>
    </w:p>
    <w:p w14:paraId="381DB0E7" w14:textId="108EEC89"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The College of Medicine provides state-of-the-art shared facilities and resources to support the research activities of their faculty and trainees. Located on the Boca Raton campus, the following shared facilities are available: </w:t>
      </w:r>
      <w:r>
        <w:rPr>
          <w:rStyle w:val="eop"/>
          <w:rFonts w:ascii="Arial" w:hAnsi="Arial" w:cs="Arial"/>
          <w:sz w:val="22"/>
          <w:szCs w:val="22"/>
        </w:rPr>
        <w:t> </w:t>
      </w:r>
    </w:p>
    <w:p w14:paraId="66185F67"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5010CD88"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u w:val="single"/>
        </w:rPr>
        <w:t>Induced Pluripotent Stem Cell (iPSC) Facility</w:t>
      </w:r>
      <w:r>
        <w:rPr>
          <w:rStyle w:val="normaltextrun"/>
          <w:rFonts w:ascii="Arial" w:hAnsi="Arial" w:cs="Arial"/>
          <w:sz w:val="22"/>
          <w:szCs w:val="22"/>
        </w:rPr>
        <w:t xml:space="preserve">: A full-time research assistant professor manages and provides service in this facility related to genome editing, culture, and differentiation of </w:t>
      </w:r>
      <w:proofErr w:type="spellStart"/>
      <w:r>
        <w:rPr>
          <w:rStyle w:val="normaltextrun"/>
          <w:rFonts w:ascii="Arial" w:hAnsi="Arial" w:cs="Arial"/>
          <w:sz w:val="22"/>
          <w:szCs w:val="22"/>
        </w:rPr>
        <w:t>iPS</w:t>
      </w:r>
      <w:proofErr w:type="spellEnd"/>
      <w:r>
        <w:rPr>
          <w:rStyle w:val="normaltextrun"/>
          <w:rFonts w:ascii="Arial" w:hAnsi="Arial" w:cs="Arial"/>
          <w:sz w:val="22"/>
          <w:szCs w:val="22"/>
        </w:rPr>
        <w:t xml:space="preserve"> cells for use in human disease modeling. The facility contains all necessary equipment, including a </w:t>
      </w:r>
      <w:proofErr w:type="spellStart"/>
      <w:r>
        <w:rPr>
          <w:rStyle w:val="normaltextrun"/>
          <w:rFonts w:ascii="Arial" w:hAnsi="Arial" w:cs="Arial"/>
          <w:sz w:val="22"/>
          <w:szCs w:val="22"/>
        </w:rPr>
        <w:t>Sorvall</w:t>
      </w:r>
      <w:proofErr w:type="spellEnd"/>
      <w:r>
        <w:rPr>
          <w:rStyle w:val="normaltextrun"/>
          <w:rFonts w:ascii="Arial" w:hAnsi="Arial" w:cs="Arial"/>
          <w:sz w:val="22"/>
          <w:szCs w:val="22"/>
        </w:rPr>
        <w:t xml:space="preserve"> Legend XIR centrifuge, Nikon Inverted Microscope, </w:t>
      </w:r>
      <w:proofErr w:type="spellStart"/>
      <w:r>
        <w:rPr>
          <w:rStyle w:val="normaltextrun"/>
          <w:rFonts w:ascii="Arial" w:hAnsi="Arial" w:cs="Arial"/>
          <w:sz w:val="22"/>
          <w:szCs w:val="22"/>
        </w:rPr>
        <w:t>ThermoScientific</w:t>
      </w:r>
      <w:proofErr w:type="spellEnd"/>
      <w:r>
        <w:rPr>
          <w:rStyle w:val="normaltextrun"/>
          <w:rFonts w:ascii="Arial" w:hAnsi="Arial" w:cs="Arial"/>
          <w:sz w:val="22"/>
          <w:szCs w:val="22"/>
        </w:rPr>
        <w:t xml:space="preserve"> CO</w:t>
      </w:r>
      <w:r>
        <w:rPr>
          <w:rStyle w:val="normaltextrun"/>
          <w:rFonts w:ascii="Arial" w:hAnsi="Arial" w:cs="Arial"/>
          <w:sz w:val="17"/>
          <w:szCs w:val="17"/>
          <w:vertAlign w:val="subscript"/>
        </w:rPr>
        <w:t>2</w:t>
      </w:r>
      <w:r>
        <w:rPr>
          <w:rStyle w:val="normaltextrun"/>
          <w:rFonts w:ascii="Arial" w:hAnsi="Arial" w:cs="Arial"/>
          <w:sz w:val="22"/>
          <w:szCs w:val="22"/>
        </w:rPr>
        <w:t xml:space="preserve"> incubators, Invitrogen neon transfection system, Biological Safety Level-2 Cabinets, and a Revco -135 ultralow freezer. </w:t>
      </w:r>
      <w:r>
        <w:rPr>
          <w:rStyle w:val="eop"/>
          <w:rFonts w:ascii="Arial" w:hAnsi="Arial" w:cs="Arial"/>
          <w:sz w:val="22"/>
          <w:szCs w:val="22"/>
        </w:rPr>
        <w:t> </w:t>
      </w:r>
    </w:p>
    <w:p w14:paraId="2FA9AF74" w14:textId="77777777" w:rsidR="00E457D9" w:rsidRDefault="00E457D9" w:rsidP="00E457D9">
      <w:pPr>
        <w:pStyle w:val="paragraph"/>
        <w:spacing w:before="0" w:beforeAutospacing="0" w:after="0" w:afterAutospacing="0"/>
        <w:ind w:left="360"/>
        <w:jc w:val="both"/>
        <w:textAlignment w:val="baseline"/>
        <w:rPr>
          <w:rFonts w:ascii="Segoe UI" w:hAnsi="Segoe UI" w:cs="Segoe UI"/>
          <w:sz w:val="18"/>
          <w:szCs w:val="18"/>
        </w:rPr>
      </w:pPr>
      <w:r>
        <w:rPr>
          <w:rStyle w:val="eop"/>
          <w:rFonts w:ascii="Arial" w:hAnsi="Arial" w:cs="Arial"/>
          <w:sz w:val="22"/>
          <w:szCs w:val="22"/>
        </w:rPr>
        <w:t> </w:t>
      </w:r>
    </w:p>
    <w:p w14:paraId="1BBCAED7"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u w:val="single"/>
        </w:rPr>
        <w:t>Molecular Facility:</w:t>
      </w:r>
      <w:r>
        <w:rPr>
          <w:rStyle w:val="normaltextrun"/>
          <w:rFonts w:ascii="Arial" w:hAnsi="Arial" w:cs="Arial"/>
          <w:b/>
          <w:bCs/>
          <w:sz w:val="22"/>
          <w:szCs w:val="22"/>
        </w:rPr>
        <w:t xml:space="preserve"> </w:t>
      </w:r>
      <w:r>
        <w:rPr>
          <w:rStyle w:val="normaltextrun"/>
          <w:rFonts w:ascii="Arial" w:hAnsi="Arial" w:cs="Arial"/>
          <w:sz w:val="22"/>
          <w:szCs w:val="22"/>
        </w:rPr>
        <w:t xml:space="preserve">Two facilities offer two sets of the following equipment, a Life Technologies Thermocycler, Agilent </w:t>
      </w:r>
      <w:proofErr w:type="spellStart"/>
      <w:r>
        <w:rPr>
          <w:rStyle w:val="normaltextrun"/>
          <w:rFonts w:ascii="Arial" w:hAnsi="Arial" w:cs="Arial"/>
          <w:sz w:val="22"/>
          <w:szCs w:val="22"/>
        </w:rPr>
        <w:t>AriaMX</w:t>
      </w:r>
      <w:proofErr w:type="spellEnd"/>
      <w:r>
        <w:rPr>
          <w:rStyle w:val="normaltextrun"/>
          <w:rFonts w:ascii="Arial" w:hAnsi="Arial" w:cs="Arial"/>
          <w:sz w:val="22"/>
          <w:szCs w:val="22"/>
        </w:rPr>
        <w:t xml:space="preserve"> Real-Time PCR System, </w:t>
      </w:r>
      <w:proofErr w:type="spellStart"/>
      <w:r>
        <w:rPr>
          <w:rStyle w:val="normaltextrun"/>
          <w:rFonts w:ascii="Arial" w:hAnsi="Arial" w:cs="Arial"/>
          <w:sz w:val="22"/>
          <w:szCs w:val="22"/>
        </w:rPr>
        <w:t>Vortexer</w:t>
      </w:r>
      <w:proofErr w:type="spellEnd"/>
      <w:r>
        <w:rPr>
          <w:rStyle w:val="normaltextrun"/>
          <w:rFonts w:ascii="Arial" w:hAnsi="Arial" w:cs="Arial"/>
          <w:sz w:val="22"/>
          <w:szCs w:val="22"/>
        </w:rPr>
        <w:t xml:space="preserve">, MX300SP </w:t>
      </w:r>
      <w:proofErr w:type="spellStart"/>
      <w:r>
        <w:rPr>
          <w:rStyle w:val="normaltextrun"/>
          <w:rFonts w:ascii="Arial" w:hAnsi="Arial" w:cs="Arial"/>
          <w:sz w:val="22"/>
          <w:szCs w:val="22"/>
        </w:rPr>
        <w:t>Stratagene</w:t>
      </w:r>
      <w:proofErr w:type="spellEnd"/>
      <w:r>
        <w:rPr>
          <w:rStyle w:val="normaltextrun"/>
          <w:rFonts w:ascii="Arial" w:hAnsi="Arial" w:cs="Arial"/>
          <w:sz w:val="22"/>
          <w:szCs w:val="22"/>
        </w:rPr>
        <w:t xml:space="preserve"> Q-PCR, Nanodrop ND 8000 Spectrophotometer, and Agilent 2100 Bioanalyzer. </w:t>
      </w:r>
      <w:r>
        <w:rPr>
          <w:rStyle w:val="eop"/>
          <w:rFonts w:ascii="Arial" w:hAnsi="Arial" w:cs="Arial"/>
          <w:sz w:val="22"/>
          <w:szCs w:val="22"/>
        </w:rPr>
        <w:t> </w:t>
      </w:r>
    </w:p>
    <w:p w14:paraId="308C1C56" w14:textId="77777777" w:rsidR="00E457D9" w:rsidRDefault="00E457D9" w:rsidP="00E457D9">
      <w:pPr>
        <w:pStyle w:val="paragraph"/>
        <w:spacing w:before="0" w:beforeAutospacing="0" w:after="0" w:afterAutospacing="0"/>
        <w:ind w:left="360"/>
        <w:jc w:val="both"/>
        <w:textAlignment w:val="baseline"/>
        <w:rPr>
          <w:rFonts w:ascii="Segoe UI" w:hAnsi="Segoe UI" w:cs="Segoe UI"/>
          <w:sz w:val="18"/>
          <w:szCs w:val="18"/>
        </w:rPr>
      </w:pPr>
      <w:r>
        <w:rPr>
          <w:rStyle w:val="eop"/>
          <w:rFonts w:ascii="Arial" w:hAnsi="Arial" w:cs="Arial"/>
          <w:sz w:val="22"/>
          <w:szCs w:val="22"/>
        </w:rPr>
        <w:t> </w:t>
      </w:r>
    </w:p>
    <w:p w14:paraId="0A27EBDB"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u w:val="single"/>
        </w:rPr>
        <w:t>Imaging Facility:</w:t>
      </w:r>
      <w:r>
        <w:rPr>
          <w:rStyle w:val="normaltextrun"/>
          <w:rFonts w:ascii="Arial" w:hAnsi="Arial" w:cs="Arial"/>
          <w:sz w:val="22"/>
          <w:szCs w:val="22"/>
        </w:rPr>
        <w:t xml:space="preserve"> The facility includes: a </w:t>
      </w:r>
      <w:proofErr w:type="spellStart"/>
      <w:r>
        <w:rPr>
          <w:rStyle w:val="normaltextrun"/>
          <w:rFonts w:ascii="Arial" w:hAnsi="Arial" w:cs="Arial"/>
          <w:sz w:val="22"/>
          <w:szCs w:val="22"/>
        </w:rPr>
        <w:t>Licor</w:t>
      </w:r>
      <w:proofErr w:type="spellEnd"/>
      <w:r>
        <w:rPr>
          <w:rStyle w:val="normaltextrun"/>
          <w:rFonts w:ascii="Arial" w:hAnsi="Arial" w:cs="Arial"/>
          <w:sz w:val="22"/>
          <w:szCs w:val="22"/>
        </w:rPr>
        <w:t xml:space="preserve"> Odyssey </w:t>
      </w:r>
      <w:proofErr w:type="spellStart"/>
      <w:r>
        <w:rPr>
          <w:rStyle w:val="normaltextrun"/>
          <w:rFonts w:ascii="Arial" w:hAnsi="Arial" w:cs="Arial"/>
          <w:sz w:val="22"/>
          <w:szCs w:val="22"/>
        </w:rPr>
        <w:t>Infared</w:t>
      </w:r>
      <w:proofErr w:type="spellEnd"/>
      <w:r>
        <w:rPr>
          <w:rStyle w:val="normaltextrun"/>
          <w:rFonts w:ascii="Arial" w:hAnsi="Arial" w:cs="Arial"/>
          <w:sz w:val="22"/>
          <w:szCs w:val="22"/>
        </w:rPr>
        <w:t xml:space="preserve"> Imager, Bio-Rad </w:t>
      </w:r>
      <w:proofErr w:type="spellStart"/>
      <w:r>
        <w:rPr>
          <w:rStyle w:val="normaltextrun"/>
          <w:rFonts w:ascii="Arial" w:hAnsi="Arial" w:cs="Arial"/>
          <w:sz w:val="22"/>
          <w:szCs w:val="22"/>
        </w:rPr>
        <w:t>TransBlot</w:t>
      </w:r>
      <w:proofErr w:type="spellEnd"/>
      <w:r>
        <w:rPr>
          <w:rStyle w:val="normaltextrun"/>
          <w:rFonts w:ascii="Arial" w:hAnsi="Arial" w:cs="Arial"/>
          <w:sz w:val="22"/>
          <w:szCs w:val="22"/>
        </w:rPr>
        <w:t xml:space="preserve"> Turbo, VWR e5430r refrigerated benchtop micro centrifuge, UVP </w:t>
      </w:r>
      <w:proofErr w:type="spellStart"/>
      <w:r>
        <w:rPr>
          <w:rStyle w:val="normaltextrun"/>
          <w:rFonts w:ascii="Arial" w:hAnsi="Arial" w:cs="Arial"/>
          <w:sz w:val="22"/>
          <w:szCs w:val="22"/>
        </w:rPr>
        <w:t>EpiChemi</w:t>
      </w:r>
      <w:proofErr w:type="spellEnd"/>
      <w:r>
        <w:rPr>
          <w:rStyle w:val="normaltextrun"/>
          <w:rFonts w:ascii="Arial" w:hAnsi="Arial" w:cs="Arial"/>
          <w:sz w:val="22"/>
          <w:szCs w:val="22"/>
        </w:rPr>
        <w:t xml:space="preserve"> II Darkroom, and Storm </w:t>
      </w:r>
      <w:proofErr w:type="spellStart"/>
      <w:r>
        <w:rPr>
          <w:rStyle w:val="normaltextrun"/>
          <w:rFonts w:ascii="Arial" w:hAnsi="Arial" w:cs="Arial"/>
          <w:sz w:val="22"/>
          <w:szCs w:val="22"/>
        </w:rPr>
        <w:t>Phosphorimager</w:t>
      </w:r>
      <w:proofErr w:type="spellEnd"/>
      <w:r>
        <w:rPr>
          <w:rStyle w:val="normaltextrun"/>
          <w:rFonts w:ascii="Arial" w:hAnsi="Arial" w:cs="Arial"/>
          <w:sz w:val="22"/>
          <w:szCs w:val="22"/>
        </w:rPr>
        <w:t>. </w:t>
      </w:r>
      <w:r>
        <w:rPr>
          <w:rStyle w:val="eop"/>
          <w:rFonts w:ascii="Arial" w:hAnsi="Arial" w:cs="Arial"/>
          <w:sz w:val="22"/>
          <w:szCs w:val="22"/>
        </w:rPr>
        <w:t> </w:t>
      </w:r>
    </w:p>
    <w:p w14:paraId="388FF784"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06175D52"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u w:val="single"/>
        </w:rPr>
        <w:t>Cell Analytics Facility:</w:t>
      </w:r>
      <w:r>
        <w:rPr>
          <w:rStyle w:val="normaltextrun"/>
          <w:rFonts w:ascii="Arial" w:hAnsi="Arial" w:cs="Arial"/>
          <w:b/>
          <w:bCs/>
          <w:sz w:val="22"/>
          <w:szCs w:val="22"/>
        </w:rPr>
        <w:t xml:space="preserve"> </w:t>
      </w:r>
      <w:r>
        <w:rPr>
          <w:rStyle w:val="normaltextrun"/>
          <w:rFonts w:ascii="Arial" w:hAnsi="Arial" w:cs="Arial"/>
          <w:sz w:val="22"/>
          <w:szCs w:val="22"/>
        </w:rPr>
        <w:t xml:space="preserve">The facility includes BD FACS </w:t>
      </w:r>
      <w:proofErr w:type="spellStart"/>
      <w:r>
        <w:rPr>
          <w:rStyle w:val="normaltextrun"/>
          <w:rFonts w:ascii="Arial" w:hAnsi="Arial" w:cs="Arial"/>
          <w:sz w:val="22"/>
          <w:szCs w:val="22"/>
        </w:rPr>
        <w:t>Calibur</w:t>
      </w:r>
      <w:proofErr w:type="spellEnd"/>
      <w:r>
        <w:rPr>
          <w:rStyle w:val="normaltextrun"/>
          <w:rFonts w:ascii="Arial" w:hAnsi="Arial" w:cs="Arial"/>
          <w:sz w:val="22"/>
          <w:szCs w:val="22"/>
        </w:rPr>
        <w:t xml:space="preserve"> Analyzer, </w:t>
      </w:r>
      <w:proofErr w:type="spellStart"/>
      <w:r>
        <w:rPr>
          <w:rStyle w:val="normaltextrun"/>
          <w:rFonts w:ascii="Arial" w:hAnsi="Arial" w:cs="Arial"/>
          <w:sz w:val="22"/>
          <w:szCs w:val="22"/>
        </w:rPr>
        <w:t>Orflo</w:t>
      </w:r>
      <w:proofErr w:type="spellEnd"/>
      <w:r>
        <w:rPr>
          <w:rStyle w:val="normaltextrun"/>
          <w:rFonts w:ascii="Arial" w:hAnsi="Arial" w:cs="Arial"/>
          <w:sz w:val="22"/>
          <w:szCs w:val="22"/>
        </w:rPr>
        <w:t xml:space="preserve"> </w:t>
      </w:r>
      <w:proofErr w:type="spellStart"/>
      <w:r>
        <w:rPr>
          <w:rStyle w:val="normaltextrun"/>
          <w:rFonts w:ascii="Arial" w:hAnsi="Arial" w:cs="Arial"/>
          <w:sz w:val="22"/>
          <w:szCs w:val="22"/>
        </w:rPr>
        <w:t>Moxi</w:t>
      </w:r>
      <w:proofErr w:type="spellEnd"/>
      <w:r>
        <w:rPr>
          <w:rStyle w:val="normaltextrun"/>
          <w:rFonts w:ascii="Arial" w:hAnsi="Arial" w:cs="Arial"/>
          <w:sz w:val="22"/>
          <w:szCs w:val="22"/>
        </w:rPr>
        <w:t xml:space="preserve">-Go, ACEA Biosciences </w:t>
      </w:r>
      <w:proofErr w:type="spellStart"/>
      <w:r>
        <w:rPr>
          <w:rStyle w:val="normaltextrun"/>
          <w:rFonts w:ascii="Arial" w:hAnsi="Arial" w:cs="Arial"/>
          <w:sz w:val="22"/>
          <w:szCs w:val="22"/>
        </w:rPr>
        <w:t>xCELLigence</w:t>
      </w:r>
      <w:proofErr w:type="spellEnd"/>
      <w:r>
        <w:rPr>
          <w:rStyle w:val="normaltextrun"/>
          <w:rFonts w:ascii="Arial" w:hAnsi="Arial" w:cs="Arial"/>
          <w:sz w:val="22"/>
          <w:szCs w:val="22"/>
        </w:rPr>
        <w:t xml:space="preserve"> RTCA DP system, and MEA2100 system (multi-microelectrode arrays).</w:t>
      </w:r>
      <w:r>
        <w:rPr>
          <w:rStyle w:val="eop"/>
          <w:rFonts w:ascii="Arial" w:hAnsi="Arial" w:cs="Arial"/>
          <w:sz w:val="22"/>
          <w:szCs w:val="22"/>
        </w:rPr>
        <w:t> </w:t>
      </w:r>
    </w:p>
    <w:p w14:paraId="4963C883"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14102C80"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u w:val="single"/>
        </w:rPr>
        <w:t>Genomics Facility:</w:t>
      </w:r>
      <w:r>
        <w:rPr>
          <w:rStyle w:val="normaltextrun"/>
          <w:rFonts w:ascii="Arial" w:hAnsi="Arial" w:cs="Arial"/>
          <w:sz w:val="22"/>
          <w:szCs w:val="22"/>
        </w:rPr>
        <w:t xml:space="preserve"> The facility includes a VWR </w:t>
      </w:r>
      <w:proofErr w:type="spellStart"/>
      <w:r>
        <w:rPr>
          <w:rStyle w:val="normaltextrun"/>
          <w:rFonts w:ascii="Arial" w:hAnsi="Arial" w:cs="Arial"/>
          <w:sz w:val="22"/>
          <w:szCs w:val="22"/>
        </w:rPr>
        <w:t>epMotion</w:t>
      </w:r>
      <w:proofErr w:type="spellEnd"/>
      <w:r>
        <w:rPr>
          <w:rStyle w:val="normaltextrun"/>
          <w:rFonts w:ascii="Arial" w:hAnsi="Arial" w:cs="Arial"/>
          <w:sz w:val="22"/>
          <w:szCs w:val="22"/>
        </w:rPr>
        <w:t xml:space="preserve"> 5073 liquid handling robotic system, </w:t>
      </w:r>
      <w:proofErr w:type="spellStart"/>
      <w:r>
        <w:rPr>
          <w:rStyle w:val="normaltextrun"/>
          <w:rFonts w:ascii="Arial" w:hAnsi="Arial" w:cs="Arial"/>
          <w:sz w:val="22"/>
          <w:szCs w:val="22"/>
        </w:rPr>
        <w:t>Diagenode</w:t>
      </w:r>
      <w:proofErr w:type="spellEnd"/>
      <w:r>
        <w:rPr>
          <w:rStyle w:val="normaltextrun"/>
          <w:rFonts w:ascii="Arial" w:hAnsi="Arial" w:cs="Arial"/>
          <w:sz w:val="22"/>
          <w:szCs w:val="22"/>
        </w:rPr>
        <w:t xml:space="preserve"> Pico Disruptor and 10x Chromium ix.</w:t>
      </w:r>
      <w:r>
        <w:rPr>
          <w:rStyle w:val="normaltextrun"/>
          <w:rFonts w:ascii="Calibri" w:hAnsi="Calibri" w:cs="Calibri"/>
          <w:sz w:val="22"/>
          <w:szCs w:val="22"/>
        </w:rPr>
        <w:t xml:space="preserve"> </w:t>
      </w:r>
      <w:r>
        <w:rPr>
          <w:rStyle w:val="normaltextrun"/>
          <w:rFonts w:ascii="Arial" w:hAnsi="Arial" w:cs="Arial"/>
          <w:sz w:val="22"/>
          <w:szCs w:val="22"/>
        </w:rPr>
        <w:t xml:space="preserve">Also available are a nanopore sequencer, </w:t>
      </w:r>
      <w:proofErr w:type="spellStart"/>
      <w:r>
        <w:rPr>
          <w:rStyle w:val="normaltextrun"/>
          <w:rFonts w:ascii="Arial" w:hAnsi="Arial" w:cs="Arial"/>
          <w:sz w:val="22"/>
          <w:szCs w:val="22"/>
        </w:rPr>
        <w:t>FreezerWorks</w:t>
      </w:r>
      <w:proofErr w:type="spellEnd"/>
      <w:r>
        <w:rPr>
          <w:rStyle w:val="normaltextrun"/>
          <w:rFonts w:ascii="Arial" w:hAnsi="Arial" w:cs="Arial"/>
          <w:sz w:val="22"/>
          <w:szCs w:val="22"/>
        </w:rPr>
        <w:t xml:space="preserve"> laboratory management software and -135 freezer.</w:t>
      </w:r>
      <w:r>
        <w:rPr>
          <w:rStyle w:val="eop"/>
          <w:rFonts w:ascii="Arial" w:hAnsi="Arial" w:cs="Arial"/>
          <w:sz w:val="22"/>
          <w:szCs w:val="22"/>
        </w:rPr>
        <w:t> </w:t>
      </w:r>
    </w:p>
    <w:p w14:paraId="4B87D4FC" w14:textId="77777777" w:rsidR="00E457D9" w:rsidRDefault="00E457D9" w:rsidP="00E457D9">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sz w:val="22"/>
          <w:szCs w:val="22"/>
        </w:rPr>
        <w:t> </w:t>
      </w:r>
    </w:p>
    <w:p w14:paraId="3502A103"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u w:val="single"/>
        </w:rPr>
        <w:t>Proteomics Facility:</w:t>
      </w:r>
      <w:r>
        <w:rPr>
          <w:rStyle w:val="normaltextrun"/>
          <w:rFonts w:ascii="Arial" w:hAnsi="Arial" w:cs="Arial"/>
          <w:b/>
          <w:bCs/>
          <w:sz w:val="22"/>
          <w:szCs w:val="22"/>
        </w:rPr>
        <w:t xml:space="preserve"> </w:t>
      </w:r>
      <w:r>
        <w:rPr>
          <w:rStyle w:val="normaltextrun"/>
          <w:rFonts w:ascii="Arial" w:hAnsi="Arial" w:cs="Arial"/>
          <w:sz w:val="22"/>
          <w:szCs w:val="22"/>
        </w:rPr>
        <w:t xml:space="preserve">The facility includes a FPLC, </w:t>
      </w:r>
      <w:proofErr w:type="spellStart"/>
      <w:r>
        <w:rPr>
          <w:rStyle w:val="normaltextrun"/>
          <w:rFonts w:ascii="Arial" w:hAnsi="Arial" w:cs="Arial"/>
          <w:sz w:val="22"/>
          <w:szCs w:val="22"/>
        </w:rPr>
        <w:t>Lablanco</w:t>
      </w:r>
      <w:proofErr w:type="spellEnd"/>
      <w:r>
        <w:rPr>
          <w:rStyle w:val="normaltextrun"/>
          <w:rFonts w:ascii="Arial" w:hAnsi="Arial" w:cs="Arial"/>
          <w:sz w:val="22"/>
          <w:szCs w:val="22"/>
        </w:rPr>
        <w:t xml:space="preserve"> freeze zone 4.5 plus, Bio Rad Protein Purification System, and BMG LabTech </w:t>
      </w:r>
      <w:proofErr w:type="spellStart"/>
      <w:r>
        <w:rPr>
          <w:rStyle w:val="normaltextrun"/>
          <w:rFonts w:ascii="Arial" w:hAnsi="Arial" w:cs="Arial"/>
          <w:sz w:val="22"/>
          <w:szCs w:val="22"/>
        </w:rPr>
        <w:t>CLARIOstar</w:t>
      </w:r>
      <w:proofErr w:type="spellEnd"/>
      <w:r>
        <w:rPr>
          <w:rStyle w:val="normaltextrun"/>
          <w:rFonts w:ascii="Arial" w:hAnsi="Arial" w:cs="Arial"/>
          <w:sz w:val="22"/>
          <w:szCs w:val="22"/>
        </w:rPr>
        <w:t>.</w:t>
      </w:r>
      <w:r>
        <w:rPr>
          <w:rStyle w:val="eop"/>
          <w:rFonts w:ascii="Arial" w:hAnsi="Arial" w:cs="Arial"/>
          <w:sz w:val="22"/>
          <w:szCs w:val="22"/>
        </w:rPr>
        <w:t> </w:t>
      </w:r>
    </w:p>
    <w:p w14:paraId="40E7C549" w14:textId="77777777" w:rsidR="00E457D9" w:rsidRDefault="00E457D9" w:rsidP="00E457D9">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sz w:val="22"/>
          <w:szCs w:val="22"/>
        </w:rPr>
        <w:t> </w:t>
      </w:r>
    </w:p>
    <w:p w14:paraId="16884927"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u w:val="single"/>
        </w:rPr>
        <w:t>Histology Facility</w:t>
      </w:r>
      <w:r>
        <w:rPr>
          <w:rStyle w:val="normaltextrun"/>
          <w:rFonts w:ascii="Arial" w:hAnsi="Arial" w:cs="Arial"/>
          <w:b/>
          <w:bCs/>
          <w:sz w:val="22"/>
          <w:szCs w:val="22"/>
        </w:rPr>
        <w:t>:</w:t>
      </w:r>
      <w:r>
        <w:rPr>
          <w:rStyle w:val="normaltextrun"/>
          <w:rFonts w:ascii="Arial" w:hAnsi="Arial" w:cs="Arial"/>
          <w:sz w:val="22"/>
          <w:szCs w:val="22"/>
        </w:rPr>
        <w:t xml:space="preserve"> The facility includes 2 Leica cryostats, microtomes, and paraffin embedding station. </w:t>
      </w:r>
      <w:r>
        <w:rPr>
          <w:rStyle w:val="eop"/>
          <w:rFonts w:ascii="Arial" w:hAnsi="Arial" w:cs="Arial"/>
          <w:sz w:val="22"/>
          <w:szCs w:val="22"/>
        </w:rPr>
        <w:t> </w:t>
      </w:r>
    </w:p>
    <w:p w14:paraId="056B2986"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7B24B0AC"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u w:val="single"/>
        </w:rPr>
        <w:t>Additional Shared Equipment:</w:t>
      </w:r>
      <w:r>
        <w:rPr>
          <w:rStyle w:val="normaltextrun"/>
          <w:rFonts w:ascii="Arial" w:hAnsi="Arial" w:cs="Arial"/>
          <w:sz w:val="22"/>
          <w:szCs w:val="22"/>
        </w:rPr>
        <w:t xml:space="preserve"> Olympus Florescence Microscope, </w:t>
      </w:r>
      <w:proofErr w:type="spellStart"/>
      <w:r>
        <w:rPr>
          <w:rStyle w:val="normaltextrun"/>
          <w:rFonts w:ascii="Arial" w:hAnsi="Arial" w:cs="Arial"/>
          <w:sz w:val="22"/>
          <w:szCs w:val="22"/>
        </w:rPr>
        <w:t>Biorad</w:t>
      </w:r>
      <w:proofErr w:type="spellEnd"/>
      <w:r>
        <w:rPr>
          <w:rStyle w:val="normaltextrun"/>
          <w:rFonts w:ascii="Arial" w:hAnsi="Arial" w:cs="Arial"/>
          <w:sz w:val="22"/>
          <w:szCs w:val="22"/>
        </w:rPr>
        <w:t xml:space="preserve"> Biologic </w:t>
      </w:r>
      <w:proofErr w:type="spellStart"/>
      <w:r>
        <w:rPr>
          <w:rStyle w:val="normaltextrun"/>
          <w:rFonts w:ascii="Arial" w:hAnsi="Arial" w:cs="Arial"/>
          <w:sz w:val="22"/>
          <w:szCs w:val="22"/>
        </w:rPr>
        <w:t>uv</w:t>
      </w:r>
      <w:proofErr w:type="spellEnd"/>
      <w:r>
        <w:rPr>
          <w:rStyle w:val="normaltextrun"/>
          <w:rFonts w:ascii="Arial" w:hAnsi="Arial" w:cs="Arial"/>
          <w:sz w:val="22"/>
          <w:szCs w:val="22"/>
        </w:rPr>
        <w:t xml:space="preserve">-vis detector/fraction collector, </w:t>
      </w:r>
      <w:proofErr w:type="spellStart"/>
      <w:r>
        <w:rPr>
          <w:rStyle w:val="normaltextrun"/>
          <w:rFonts w:ascii="Arial" w:hAnsi="Arial" w:cs="Arial"/>
          <w:sz w:val="22"/>
          <w:szCs w:val="22"/>
        </w:rPr>
        <w:t>Biotek</w:t>
      </w:r>
      <w:proofErr w:type="spellEnd"/>
      <w:r>
        <w:rPr>
          <w:rStyle w:val="normaltextrun"/>
          <w:rFonts w:ascii="Arial" w:hAnsi="Arial" w:cs="Arial"/>
          <w:sz w:val="22"/>
          <w:szCs w:val="22"/>
        </w:rPr>
        <w:t xml:space="preserve"> </w:t>
      </w:r>
      <w:proofErr w:type="spellStart"/>
      <w:r>
        <w:rPr>
          <w:rStyle w:val="normaltextrun"/>
          <w:rFonts w:ascii="Arial" w:hAnsi="Arial" w:cs="Arial"/>
          <w:sz w:val="22"/>
          <w:szCs w:val="22"/>
        </w:rPr>
        <w:t>elx</w:t>
      </w:r>
      <w:proofErr w:type="spellEnd"/>
      <w:r>
        <w:rPr>
          <w:rStyle w:val="normaltextrun"/>
          <w:rFonts w:ascii="Arial" w:hAnsi="Arial" w:cs="Arial"/>
          <w:sz w:val="22"/>
          <w:szCs w:val="22"/>
        </w:rPr>
        <w:t xml:space="preserve"> 800 microplate reader, </w:t>
      </w:r>
      <w:proofErr w:type="spellStart"/>
      <w:r>
        <w:rPr>
          <w:rStyle w:val="normaltextrun"/>
          <w:rFonts w:ascii="Arial" w:hAnsi="Arial" w:cs="Arial"/>
          <w:sz w:val="22"/>
          <w:szCs w:val="22"/>
        </w:rPr>
        <w:t>Sorvall</w:t>
      </w:r>
      <w:proofErr w:type="spellEnd"/>
      <w:r>
        <w:rPr>
          <w:rStyle w:val="normaltextrun"/>
          <w:rFonts w:ascii="Arial" w:hAnsi="Arial" w:cs="Arial"/>
          <w:sz w:val="22"/>
          <w:szCs w:val="22"/>
        </w:rPr>
        <w:t xml:space="preserve"> legend rt refrigerated centrifuge (2), Perkin </w:t>
      </w:r>
      <w:proofErr w:type="spellStart"/>
      <w:r>
        <w:rPr>
          <w:rStyle w:val="normaltextrun"/>
          <w:rFonts w:ascii="Arial" w:hAnsi="Arial" w:cs="Arial"/>
          <w:sz w:val="22"/>
          <w:szCs w:val="22"/>
        </w:rPr>
        <w:t>elmer</w:t>
      </w:r>
      <w:proofErr w:type="spellEnd"/>
      <w:r>
        <w:rPr>
          <w:rStyle w:val="normaltextrun"/>
          <w:rFonts w:ascii="Arial" w:hAnsi="Arial" w:cs="Arial"/>
          <w:sz w:val="22"/>
          <w:szCs w:val="22"/>
        </w:rPr>
        <w:t xml:space="preserve"> </w:t>
      </w:r>
      <w:proofErr w:type="spellStart"/>
      <w:r>
        <w:rPr>
          <w:rStyle w:val="normaltextrun"/>
          <w:rFonts w:ascii="Arial" w:hAnsi="Arial" w:cs="Arial"/>
          <w:sz w:val="22"/>
          <w:szCs w:val="22"/>
        </w:rPr>
        <w:t>microbeta</w:t>
      </w:r>
      <w:proofErr w:type="spellEnd"/>
      <w:r>
        <w:rPr>
          <w:rStyle w:val="normaltextrun"/>
          <w:rFonts w:ascii="Arial" w:hAnsi="Arial" w:cs="Arial"/>
          <w:sz w:val="22"/>
          <w:szCs w:val="22"/>
        </w:rPr>
        <w:t xml:space="preserve"> 2450 microplate counter, Thermos evolution 220 </w:t>
      </w:r>
      <w:proofErr w:type="spellStart"/>
      <w:r>
        <w:rPr>
          <w:rStyle w:val="normaltextrun"/>
          <w:rFonts w:ascii="Arial" w:hAnsi="Arial" w:cs="Arial"/>
          <w:sz w:val="22"/>
          <w:szCs w:val="22"/>
        </w:rPr>
        <w:t>uv</w:t>
      </w:r>
      <w:proofErr w:type="spellEnd"/>
      <w:r>
        <w:rPr>
          <w:rStyle w:val="normaltextrun"/>
          <w:rFonts w:ascii="Arial" w:hAnsi="Arial" w:cs="Arial"/>
          <w:sz w:val="22"/>
          <w:szCs w:val="22"/>
        </w:rPr>
        <w:t xml:space="preserve"> visible spectrophotometer, Sonics </w:t>
      </w:r>
      <w:proofErr w:type="spellStart"/>
      <w:r>
        <w:rPr>
          <w:rStyle w:val="normaltextrun"/>
          <w:rFonts w:ascii="Arial" w:hAnsi="Arial" w:cs="Arial"/>
          <w:sz w:val="22"/>
          <w:szCs w:val="22"/>
        </w:rPr>
        <w:t>vibracell</w:t>
      </w:r>
      <w:proofErr w:type="spellEnd"/>
      <w:r>
        <w:rPr>
          <w:rStyle w:val="normaltextrun"/>
          <w:rFonts w:ascii="Arial" w:hAnsi="Arial" w:cs="Arial"/>
          <w:sz w:val="22"/>
          <w:szCs w:val="22"/>
        </w:rPr>
        <w:t xml:space="preserve">, Precision microprocessor controlled 280 water bath (2), </w:t>
      </w:r>
      <w:proofErr w:type="spellStart"/>
      <w:r>
        <w:rPr>
          <w:rStyle w:val="normaltextrun"/>
          <w:rFonts w:ascii="Arial" w:hAnsi="Arial" w:cs="Arial"/>
          <w:sz w:val="22"/>
          <w:szCs w:val="22"/>
        </w:rPr>
        <w:t>ThermoSci</w:t>
      </w:r>
      <w:proofErr w:type="spellEnd"/>
      <w:r>
        <w:rPr>
          <w:rStyle w:val="normaltextrun"/>
          <w:rFonts w:ascii="Arial" w:hAnsi="Arial" w:cs="Arial"/>
          <w:sz w:val="22"/>
          <w:szCs w:val="22"/>
        </w:rPr>
        <w:t xml:space="preserve"> Max Q6000 incubator/shakers (2), </w:t>
      </w:r>
      <w:proofErr w:type="spellStart"/>
      <w:r>
        <w:rPr>
          <w:rStyle w:val="normaltextrun"/>
          <w:rFonts w:ascii="Arial" w:hAnsi="Arial" w:cs="Arial"/>
          <w:sz w:val="22"/>
          <w:szCs w:val="22"/>
        </w:rPr>
        <w:t>Isotemp</w:t>
      </w:r>
      <w:proofErr w:type="spellEnd"/>
      <w:r>
        <w:rPr>
          <w:rStyle w:val="normaltextrun"/>
          <w:rFonts w:ascii="Arial" w:hAnsi="Arial" w:cs="Arial"/>
          <w:sz w:val="22"/>
          <w:szCs w:val="22"/>
        </w:rPr>
        <w:t xml:space="preserve"> 228 </w:t>
      </w:r>
      <w:proofErr w:type="spellStart"/>
      <w:r>
        <w:rPr>
          <w:rStyle w:val="normaltextrun"/>
          <w:rFonts w:ascii="Arial" w:hAnsi="Arial" w:cs="Arial"/>
          <w:sz w:val="22"/>
          <w:szCs w:val="22"/>
        </w:rPr>
        <w:t>waterbath</w:t>
      </w:r>
      <w:proofErr w:type="spellEnd"/>
      <w:r>
        <w:rPr>
          <w:rStyle w:val="normaltextrun"/>
          <w:rFonts w:ascii="Arial" w:hAnsi="Arial" w:cs="Arial"/>
          <w:sz w:val="22"/>
          <w:szCs w:val="22"/>
        </w:rPr>
        <w:t xml:space="preserve">, </w:t>
      </w:r>
      <w:proofErr w:type="spellStart"/>
      <w:r>
        <w:rPr>
          <w:rStyle w:val="normaltextrun"/>
          <w:rFonts w:ascii="Arial" w:hAnsi="Arial" w:cs="Arial"/>
          <w:sz w:val="22"/>
          <w:szCs w:val="22"/>
        </w:rPr>
        <w:t>ThermoSci</w:t>
      </w:r>
      <w:proofErr w:type="spellEnd"/>
      <w:r>
        <w:rPr>
          <w:rStyle w:val="normaltextrun"/>
          <w:rFonts w:ascii="Arial" w:hAnsi="Arial" w:cs="Arial"/>
          <w:sz w:val="22"/>
          <w:szCs w:val="22"/>
        </w:rPr>
        <w:t xml:space="preserve"> </w:t>
      </w:r>
      <w:proofErr w:type="spellStart"/>
      <w:r>
        <w:rPr>
          <w:rStyle w:val="normaltextrun"/>
          <w:rFonts w:ascii="Arial" w:hAnsi="Arial" w:cs="Arial"/>
          <w:sz w:val="22"/>
          <w:szCs w:val="22"/>
        </w:rPr>
        <w:t>Heratherm</w:t>
      </w:r>
      <w:proofErr w:type="spellEnd"/>
      <w:r>
        <w:rPr>
          <w:rStyle w:val="normaltextrun"/>
          <w:rFonts w:ascii="Arial" w:hAnsi="Arial" w:cs="Arial"/>
          <w:sz w:val="22"/>
          <w:szCs w:val="22"/>
        </w:rPr>
        <w:t xml:space="preserve"> Oven, Zeiss </w:t>
      </w:r>
      <w:proofErr w:type="spellStart"/>
      <w:r>
        <w:rPr>
          <w:rStyle w:val="normaltextrun"/>
          <w:rFonts w:ascii="Arial" w:hAnsi="Arial" w:cs="Arial"/>
          <w:sz w:val="22"/>
          <w:szCs w:val="22"/>
        </w:rPr>
        <w:t>invertoskop</w:t>
      </w:r>
      <w:proofErr w:type="spellEnd"/>
      <w:r>
        <w:rPr>
          <w:rStyle w:val="normaltextrun"/>
          <w:rFonts w:ascii="Arial" w:hAnsi="Arial" w:cs="Arial"/>
          <w:sz w:val="22"/>
          <w:szCs w:val="22"/>
        </w:rPr>
        <w:t xml:space="preserve"> 40c microscope, Beckman coulter optima L80k ultracentrifuge, Panasonic autoclave, Eppendorf 5417R centrifuge, Beckman coulter Avanti J25 high speed centrifuge (2), Barnstead lab line MaxQ7000 </w:t>
      </w:r>
      <w:proofErr w:type="spellStart"/>
      <w:r>
        <w:rPr>
          <w:rStyle w:val="normaltextrun"/>
          <w:rFonts w:ascii="Arial" w:hAnsi="Arial" w:cs="Arial"/>
          <w:sz w:val="22"/>
          <w:szCs w:val="22"/>
        </w:rPr>
        <w:t>waterbaths</w:t>
      </w:r>
      <w:proofErr w:type="spellEnd"/>
      <w:r>
        <w:rPr>
          <w:rStyle w:val="normaltextrun"/>
          <w:rFonts w:ascii="Arial" w:hAnsi="Arial" w:cs="Arial"/>
          <w:sz w:val="22"/>
          <w:szCs w:val="22"/>
        </w:rPr>
        <w:t xml:space="preserve"> (2), Beckman </w:t>
      </w:r>
      <w:proofErr w:type="spellStart"/>
      <w:r>
        <w:rPr>
          <w:rStyle w:val="normaltextrun"/>
          <w:rFonts w:ascii="Arial" w:hAnsi="Arial" w:cs="Arial"/>
          <w:sz w:val="22"/>
          <w:szCs w:val="22"/>
        </w:rPr>
        <w:t>OptimaMax</w:t>
      </w:r>
      <w:proofErr w:type="spellEnd"/>
      <w:r>
        <w:rPr>
          <w:rStyle w:val="normaltextrun"/>
          <w:rFonts w:ascii="Arial" w:hAnsi="Arial" w:cs="Arial"/>
          <w:sz w:val="22"/>
          <w:szCs w:val="22"/>
        </w:rPr>
        <w:t xml:space="preserve"> tabletop ultracentrifuge, Biosafety cabinets for tissue culture (2), </w:t>
      </w:r>
      <w:proofErr w:type="spellStart"/>
      <w:r>
        <w:rPr>
          <w:rStyle w:val="normaltextrun"/>
          <w:rFonts w:ascii="Arial" w:hAnsi="Arial" w:cs="Arial"/>
          <w:sz w:val="22"/>
          <w:szCs w:val="22"/>
        </w:rPr>
        <w:t>Heracell</w:t>
      </w:r>
      <w:proofErr w:type="spellEnd"/>
      <w:r>
        <w:rPr>
          <w:rStyle w:val="normaltextrun"/>
          <w:rFonts w:ascii="Arial" w:hAnsi="Arial" w:cs="Arial"/>
          <w:sz w:val="22"/>
          <w:szCs w:val="22"/>
        </w:rPr>
        <w:t xml:space="preserve"> 150 incubators, Hypoxia Chamber </w:t>
      </w:r>
      <w:proofErr w:type="spellStart"/>
      <w:r>
        <w:rPr>
          <w:rStyle w:val="normaltextrun"/>
          <w:rFonts w:ascii="Arial" w:hAnsi="Arial" w:cs="Arial"/>
          <w:sz w:val="22"/>
          <w:szCs w:val="22"/>
        </w:rPr>
        <w:t>CoyLab</w:t>
      </w:r>
      <w:proofErr w:type="spellEnd"/>
      <w:r>
        <w:rPr>
          <w:rStyle w:val="normaltextrun"/>
          <w:rFonts w:ascii="Arial" w:hAnsi="Arial" w:cs="Arial"/>
          <w:sz w:val="22"/>
          <w:szCs w:val="22"/>
        </w:rPr>
        <w:t xml:space="preserve">, GE </w:t>
      </w:r>
      <w:proofErr w:type="spellStart"/>
      <w:r>
        <w:rPr>
          <w:rStyle w:val="normaltextrun"/>
          <w:rFonts w:ascii="Arial" w:hAnsi="Arial" w:cs="Arial"/>
          <w:sz w:val="22"/>
          <w:szCs w:val="22"/>
        </w:rPr>
        <w:t>Nanovue</w:t>
      </w:r>
      <w:proofErr w:type="spellEnd"/>
      <w:r>
        <w:rPr>
          <w:rStyle w:val="normaltextrun"/>
          <w:rFonts w:ascii="Arial" w:hAnsi="Arial" w:cs="Arial"/>
          <w:sz w:val="22"/>
          <w:szCs w:val="22"/>
        </w:rPr>
        <w:t xml:space="preserve">, spectrophotometer, 3D printer, Eppendorf vacufuge &amp; </w:t>
      </w:r>
      <w:proofErr w:type="spellStart"/>
      <w:r>
        <w:rPr>
          <w:rStyle w:val="normaltextrun"/>
          <w:rFonts w:ascii="Arial" w:hAnsi="Arial" w:cs="Arial"/>
          <w:sz w:val="22"/>
          <w:szCs w:val="22"/>
        </w:rPr>
        <w:t>Heto</w:t>
      </w:r>
      <w:proofErr w:type="spellEnd"/>
      <w:r>
        <w:rPr>
          <w:rStyle w:val="normaltextrun"/>
          <w:rFonts w:ascii="Arial" w:hAnsi="Arial" w:cs="Arial"/>
          <w:sz w:val="22"/>
          <w:szCs w:val="22"/>
        </w:rPr>
        <w:t xml:space="preserve"> cold trap, Beckman coulter </w:t>
      </w:r>
      <w:proofErr w:type="spellStart"/>
      <w:r>
        <w:rPr>
          <w:rStyle w:val="normaltextrun"/>
          <w:rFonts w:ascii="Arial" w:hAnsi="Arial" w:cs="Arial"/>
          <w:sz w:val="22"/>
          <w:szCs w:val="22"/>
        </w:rPr>
        <w:t>allegra</w:t>
      </w:r>
      <w:proofErr w:type="spellEnd"/>
      <w:r>
        <w:rPr>
          <w:rStyle w:val="normaltextrun"/>
          <w:rFonts w:ascii="Arial" w:hAnsi="Arial" w:cs="Arial"/>
          <w:sz w:val="22"/>
          <w:szCs w:val="22"/>
        </w:rPr>
        <w:t xml:space="preserve"> centrifuge, </w:t>
      </w:r>
      <w:proofErr w:type="spellStart"/>
      <w:r>
        <w:rPr>
          <w:rStyle w:val="normaltextrun"/>
          <w:rFonts w:ascii="Arial" w:hAnsi="Arial" w:cs="Arial"/>
          <w:sz w:val="22"/>
          <w:szCs w:val="22"/>
        </w:rPr>
        <w:t>Inotech</w:t>
      </w:r>
      <w:proofErr w:type="spellEnd"/>
      <w:r>
        <w:rPr>
          <w:rStyle w:val="normaltextrun"/>
          <w:rFonts w:ascii="Arial" w:hAnsi="Arial" w:cs="Arial"/>
          <w:sz w:val="22"/>
          <w:szCs w:val="22"/>
        </w:rPr>
        <w:t xml:space="preserve"> Cell Harvester, New </w:t>
      </w:r>
      <w:proofErr w:type="spellStart"/>
      <w:r>
        <w:rPr>
          <w:rStyle w:val="normaltextrun"/>
          <w:rFonts w:ascii="Arial" w:hAnsi="Arial" w:cs="Arial"/>
          <w:sz w:val="22"/>
          <w:szCs w:val="22"/>
        </w:rPr>
        <w:t>brunswick</w:t>
      </w:r>
      <w:proofErr w:type="spellEnd"/>
      <w:r>
        <w:rPr>
          <w:rStyle w:val="normaltextrun"/>
          <w:rFonts w:ascii="Arial" w:hAnsi="Arial" w:cs="Arial"/>
          <w:sz w:val="22"/>
          <w:szCs w:val="22"/>
        </w:rPr>
        <w:t xml:space="preserve"> C76 water bath shaker, New Brunswick Series 25 floor model shaker, Thermo Stericycle incubators (2), Beckman coulter optima L90k ultracentrifuge, Leica RM 2155, Eppendorf Centra CL5 centrifuge, Eppendorf </w:t>
      </w:r>
      <w:proofErr w:type="spellStart"/>
      <w:r>
        <w:rPr>
          <w:rStyle w:val="normaltextrun"/>
          <w:rFonts w:ascii="Arial" w:hAnsi="Arial" w:cs="Arial"/>
          <w:sz w:val="22"/>
          <w:szCs w:val="22"/>
        </w:rPr>
        <w:t>mastercycler</w:t>
      </w:r>
      <w:proofErr w:type="spellEnd"/>
      <w:r>
        <w:rPr>
          <w:rStyle w:val="normaltextrun"/>
          <w:rFonts w:ascii="Arial" w:hAnsi="Arial" w:cs="Arial"/>
          <w:sz w:val="22"/>
          <w:szCs w:val="22"/>
        </w:rPr>
        <w:t xml:space="preserve"> thermal cycler, </w:t>
      </w:r>
      <w:proofErr w:type="spellStart"/>
      <w:r>
        <w:rPr>
          <w:rStyle w:val="normaltextrun"/>
          <w:rFonts w:ascii="Arial" w:hAnsi="Arial" w:cs="Arial"/>
          <w:sz w:val="22"/>
          <w:szCs w:val="22"/>
        </w:rPr>
        <w:t>Ultrospec</w:t>
      </w:r>
      <w:proofErr w:type="spellEnd"/>
      <w:r>
        <w:rPr>
          <w:rStyle w:val="normaltextrun"/>
          <w:rFonts w:ascii="Arial" w:hAnsi="Arial" w:cs="Arial"/>
          <w:sz w:val="22"/>
          <w:szCs w:val="22"/>
        </w:rPr>
        <w:t xml:space="preserve"> 500 pro spectrophotometer, Orbit shaker, BMG Labtech </w:t>
      </w:r>
      <w:proofErr w:type="spellStart"/>
      <w:r>
        <w:rPr>
          <w:rStyle w:val="normaltextrun"/>
          <w:rFonts w:ascii="Arial" w:hAnsi="Arial" w:cs="Arial"/>
          <w:sz w:val="22"/>
          <w:szCs w:val="22"/>
        </w:rPr>
        <w:t>Polarstar</w:t>
      </w:r>
      <w:proofErr w:type="spellEnd"/>
      <w:r>
        <w:rPr>
          <w:rStyle w:val="normaltextrun"/>
          <w:rFonts w:ascii="Arial" w:hAnsi="Arial" w:cs="Arial"/>
          <w:sz w:val="22"/>
          <w:szCs w:val="22"/>
        </w:rPr>
        <w:t xml:space="preserve"> omega, Leica microscope, </w:t>
      </w:r>
      <w:proofErr w:type="spellStart"/>
      <w:r>
        <w:rPr>
          <w:rStyle w:val="normaltextrun"/>
          <w:rFonts w:ascii="Arial" w:hAnsi="Arial" w:cs="Arial"/>
          <w:sz w:val="22"/>
          <w:szCs w:val="22"/>
        </w:rPr>
        <w:t>BioRad</w:t>
      </w:r>
      <w:proofErr w:type="spellEnd"/>
      <w:r>
        <w:rPr>
          <w:rStyle w:val="normaltextrun"/>
          <w:rFonts w:ascii="Arial" w:hAnsi="Arial" w:cs="Arial"/>
          <w:sz w:val="22"/>
          <w:szCs w:val="22"/>
        </w:rPr>
        <w:t xml:space="preserve"> gene </w:t>
      </w:r>
      <w:proofErr w:type="spellStart"/>
      <w:r>
        <w:rPr>
          <w:rStyle w:val="normaltextrun"/>
          <w:rFonts w:ascii="Arial" w:hAnsi="Arial" w:cs="Arial"/>
          <w:sz w:val="22"/>
          <w:szCs w:val="22"/>
        </w:rPr>
        <w:t>pulser</w:t>
      </w:r>
      <w:proofErr w:type="spellEnd"/>
      <w:r>
        <w:rPr>
          <w:rStyle w:val="normaltextrun"/>
          <w:rFonts w:ascii="Arial" w:hAnsi="Arial" w:cs="Arial"/>
          <w:sz w:val="22"/>
          <w:szCs w:val="22"/>
        </w:rPr>
        <w:t xml:space="preserve"> x cell, </w:t>
      </w:r>
      <w:proofErr w:type="spellStart"/>
      <w:r>
        <w:rPr>
          <w:rStyle w:val="normaltextrun"/>
          <w:rFonts w:ascii="Arial" w:hAnsi="Arial" w:cs="Arial"/>
          <w:sz w:val="22"/>
          <w:szCs w:val="22"/>
        </w:rPr>
        <w:t>Spectramax</w:t>
      </w:r>
      <w:proofErr w:type="spellEnd"/>
      <w:r>
        <w:rPr>
          <w:rStyle w:val="normaltextrun"/>
          <w:rFonts w:ascii="Arial" w:hAnsi="Arial" w:cs="Arial"/>
          <w:sz w:val="22"/>
          <w:szCs w:val="22"/>
        </w:rPr>
        <w:t xml:space="preserve"> m5, </w:t>
      </w:r>
      <w:proofErr w:type="spellStart"/>
      <w:r>
        <w:rPr>
          <w:rStyle w:val="normaltextrun"/>
          <w:rFonts w:ascii="Arial" w:hAnsi="Arial" w:cs="Arial"/>
          <w:sz w:val="22"/>
          <w:szCs w:val="22"/>
        </w:rPr>
        <w:t>Thermofisher</w:t>
      </w:r>
      <w:proofErr w:type="spellEnd"/>
      <w:r>
        <w:rPr>
          <w:rStyle w:val="normaltextrun"/>
          <w:rFonts w:ascii="Arial" w:hAnsi="Arial" w:cs="Arial"/>
          <w:sz w:val="22"/>
          <w:szCs w:val="22"/>
        </w:rPr>
        <w:t xml:space="preserve"> Hybrid shake n stack, Thermo Legend 21R Microfuge, </w:t>
      </w:r>
      <w:proofErr w:type="spellStart"/>
      <w:r>
        <w:rPr>
          <w:rStyle w:val="normaltextrun"/>
          <w:rFonts w:ascii="Arial" w:hAnsi="Arial" w:cs="Arial"/>
          <w:sz w:val="22"/>
          <w:szCs w:val="22"/>
        </w:rPr>
        <w:t>Sorvall</w:t>
      </w:r>
      <w:proofErr w:type="spellEnd"/>
      <w:r>
        <w:rPr>
          <w:rStyle w:val="normaltextrun"/>
          <w:rFonts w:ascii="Arial" w:hAnsi="Arial" w:cs="Arial"/>
          <w:sz w:val="22"/>
          <w:szCs w:val="22"/>
        </w:rPr>
        <w:t xml:space="preserve"> ST16 centrifuge, Hybrid Maxi14 hybridization oven, Nikon Eclipse </w:t>
      </w:r>
      <w:proofErr w:type="spellStart"/>
      <w:r>
        <w:rPr>
          <w:rStyle w:val="normaltextrun"/>
          <w:rFonts w:ascii="Arial" w:hAnsi="Arial" w:cs="Arial"/>
          <w:sz w:val="22"/>
          <w:szCs w:val="22"/>
        </w:rPr>
        <w:t>TxZR</w:t>
      </w:r>
      <w:proofErr w:type="spellEnd"/>
      <w:r>
        <w:rPr>
          <w:rStyle w:val="normaltextrun"/>
          <w:rFonts w:ascii="Arial" w:hAnsi="Arial" w:cs="Arial"/>
          <w:sz w:val="22"/>
          <w:szCs w:val="22"/>
        </w:rPr>
        <w:t xml:space="preserve"> microscopes (2), Waters HPLC w/electrochemical detector.</w:t>
      </w:r>
      <w:r>
        <w:rPr>
          <w:rStyle w:val="eop"/>
          <w:rFonts w:ascii="Arial" w:hAnsi="Arial" w:cs="Arial"/>
          <w:sz w:val="22"/>
          <w:szCs w:val="22"/>
        </w:rPr>
        <w:t> </w:t>
      </w:r>
    </w:p>
    <w:p w14:paraId="094DD51A" w14:textId="77777777" w:rsidR="000D4E69" w:rsidRDefault="000D4E69" w:rsidP="00E457D9">
      <w:pPr>
        <w:pStyle w:val="paragraph"/>
        <w:spacing w:before="0" w:beforeAutospacing="0" w:after="0" w:afterAutospacing="0"/>
        <w:jc w:val="both"/>
        <w:textAlignment w:val="baseline"/>
        <w:rPr>
          <w:rStyle w:val="normaltextrun"/>
          <w:rFonts w:ascii="Arial" w:hAnsi="Arial" w:cs="Arial"/>
          <w:b/>
          <w:bCs/>
          <w:sz w:val="22"/>
          <w:szCs w:val="22"/>
        </w:rPr>
      </w:pPr>
    </w:p>
    <w:p w14:paraId="182976C9" w14:textId="22D8DAC6"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sz w:val="22"/>
          <w:szCs w:val="22"/>
        </w:rPr>
        <w:t xml:space="preserve">College of Medicine </w:t>
      </w:r>
      <w:r w:rsidR="00FF30FB">
        <w:rPr>
          <w:rStyle w:val="normaltextrun"/>
          <w:rFonts w:ascii="Arial" w:hAnsi="Arial" w:cs="Arial"/>
          <w:b/>
          <w:bCs/>
          <w:sz w:val="22"/>
          <w:szCs w:val="22"/>
        </w:rPr>
        <w:t xml:space="preserve">Animal </w:t>
      </w:r>
      <w:r>
        <w:rPr>
          <w:rStyle w:val="normaltextrun"/>
          <w:rFonts w:ascii="Arial" w:hAnsi="Arial" w:cs="Arial"/>
          <w:b/>
          <w:bCs/>
          <w:sz w:val="22"/>
          <w:szCs w:val="22"/>
        </w:rPr>
        <w:t>Facility (BC-71)</w:t>
      </w:r>
      <w:r>
        <w:rPr>
          <w:rStyle w:val="normaltextrun"/>
          <w:rFonts w:ascii="Arial" w:hAnsi="Arial" w:cs="Arial"/>
          <w:sz w:val="22"/>
          <w:szCs w:val="22"/>
        </w:rPr>
        <w:t xml:space="preserve">. The COM animal facility is a modified barrier 3,647 sq. ft. vivarium that houses only mice in three housing rooms. One animal room is equipped with three individual cubicles allowing separation of animals by specific study projects, e.g. use of viral vectors or reversed light cycle. Mice are housed in individually ventilated cages or microisolator cages and water provided via water bottle. Cage change is accomplished using changing stations (i.e. laminar flow hoods). Individual cubicles are opened only </w:t>
      </w:r>
      <w:r>
        <w:rPr>
          <w:rStyle w:val="normaltextrun"/>
          <w:rFonts w:ascii="Arial" w:hAnsi="Arial" w:cs="Arial"/>
          <w:sz w:val="22"/>
          <w:szCs w:val="22"/>
        </w:rPr>
        <w:lastRenderedPageBreak/>
        <w:t xml:space="preserve">one at a time if applicable.  Animals are fed dedicated rodent chow (5L0D </w:t>
      </w:r>
      <w:proofErr w:type="spellStart"/>
      <w:r>
        <w:rPr>
          <w:rStyle w:val="normaltextrun"/>
          <w:rFonts w:ascii="Arial" w:hAnsi="Arial" w:cs="Arial"/>
          <w:sz w:val="22"/>
          <w:szCs w:val="22"/>
        </w:rPr>
        <w:t>PicoLab</w:t>
      </w:r>
      <w:proofErr w:type="spellEnd"/>
      <w:r>
        <w:rPr>
          <w:rStyle w:val="normaltextrun"/>
          <w:rFonts w:ascii="Arial" w:hAnsi="Arial" w:cs="Arial"/>
          <w:sz w:val="22"/>
          <w:szCs w:val="22"/>
        </w:rPr>
        <w:t xml:space="preserve">® Laboratory Rodent Diet and 5LJ5 </w:t>
      </w:r>
      <w:proofErr w:type="spellStart"/>
      <w:r>
        <w:rPr>
          <w:rStyle w:val="normaltextrun"/>
          <w:rFonts w:ascii="Arial" w:hAnsi="Arial" w:cs="Arial"/>
          <w:sz w:val="22"/>
          <w:szCs w:val="22"/>
        </w:rPr>
        <w:t>PicoLab</w:t>
      </w:r>
      <w:proofErr w:type="spellEnd"/>
      <w:r>
        <w:rPr>
          <w:rStyle w:val="normaltextrun"/>
          <w:rFonts w:ascii="Arial" w:hAnsi="Arial" w:cs="Arial"/>
          <w:sz w:val="22"/>
          <w:szCs w:val="22"/>
        </w:rPr>
        <w:t>® High Energy Mouse Diet). Environmental parameters such as temperature, humidity, ventilation criteria and light are controlled and/or monitored via a computerized “Watchdog” system in each cubicle. Caging and supplies are sanitized through a rack washer and/or sterilized via an autoclave within the facility. The vivarium contains a surgical suite, a multipurpose room with a downdraft table, and several other procedure rooms. One procedure room is dedicated to BSL2 work containing a Biosafety Cabinet Type 2B. Therefore, animal biohazard level 2 (ABSL2) studies can be supported in this facility. Animals cannot be returned from individual research labs once they have left the vivarium. Restricted access and PPE such as disposable gowns and gloves are required for entry to the animal facility. The vivarium is serviced by dedicated animal care staff.</w:t>
      </w:r>
      <w:r>
        <w:rPr>
          <w:rStyle w:val="normaltextrun"/>
          <w:rFonts w:ascii="Calibri" w:hAnsi="Calibri" w:cs="Calibri"/>
          <w:sz w:val="22"/>
          <w:szCs w:val="22"/>
        </w:rPr>
        <w:t> </w:t>
      </w:r>
      <w:r>
        <w:rPr>
          <w:rStyle w:val="eop"/>
          <w:rFonts w:ascii="Calibri" w:hAnsi="Calibri" w:cs="Calibri"/>
          <w:sz w:val="22"/>
          <w:szCs w:val="22"/>
        </w:rPr>
        <w:t> </w:t>
      </w:r>
    </w:p>
    <w:p w14:paraId="09BEB897"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74BC3BD7"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This facility also houses an array of COM shared equipment, including Med Associates animal locomotor tracking system, </w:t>
      </w:r>
      <w:proofErr w:type="spellStart"/>
      <w:r>
        <w:rPr>
          <w:rStyle w:val="normaltextrun"/>
          <w:rFonts w:ascii="Arial" w:hAnsi="Arial" w:cs="Arial"/>
          <w:sz w:val="22"/>
          <w:szCs w:val="22"/>
        </w:rPr>
        <w:t>Noldus</w:t>
      </w:r>
      <w:proofErr w:type="spellEnd"/>
      <w:r>
        <w:rPr>
          <w:rStyle w:val="normaltextrun"/>
          <w:rFonts w:ascii="Arial" w:hAnsi="Arial" w:cs="Arial"/>
          <w:sz w:val="22"/>
          <w:szCs w:val="22"/>
        </w:rPr>
        <w:t xml:space="preserve"> behavioral mouse maze, Vevo Imaging System 3100, </w:t>
      </w:r>
      <w:proofErr w:type="spellStart"/>
      <w:r>
        <w:rPr>
          <w:rStyle w:val="normaltextrun"/>
          <w:rFonts w:ascii="Arial" w:hAnsi="Arial" w:cs="Arial"/>
          <w:sz w:val="22"/>
          <w:szCs w:val="22"/>
        </w:rPr>
        <w:t>Neurostar</w:t>
      </w:r>
      <w:proofErr w:type="spellEnd"/>
      <w:r>
        <w:rPr>
          <w:rStyle w:val="normaltextrun"/>
          <w:rFonts w:ascii="Arial" w:hAnsi="Arial" w:cs="Arial"/>
          <w:sz w:val="22"/>
          <w:szCs w:val="22"/>
        </w:rPr>
        <w:t xml:space="preserve"> motorized stereotaxic system, and </w:t>
      </w:r>
      <w:proofErr w:type="spellStart"/>
      <w:r>
        <w:rPr>
          <w:rStyle w:val="normaltextrun"/>
          <w:rFonts w:ascii="Arial" w:hAnsi="Arial" w:cs="Arial"/>
          <w:sz w:val="22"/>
          <w:szCs w:val="22"/>
        </w:rPr>
        <w:t>microdialysis</w:t>
      </w:r>
      <w:proofErr w:type="spellEnd"/>
      <w:r>
        <w:rPr>
          <w:rStyle w:val="normaltextrun"/>
          <w:rFonts w:ascii="Arial" w:hAnsi="Arial" w:cs="Arial"/>
          <w:sz w:val="22"/>
          <w:szCs w:val="22"/>
        </w:rPr>
        <w:t xml:space="preserve"> set up.</w:t>
      </w:r>
      <w:r>
        <w:rPr>
          <w:rStyle w:val="eop"/>
          <w:rFonts w:ascii="Arial" w:hAnsi="Arial" w:cs="Arial"/>
          <w:sz w:val="22"/>
          <w:szCs w:val="22"/>
        </w:rPr>
        <w:t> </w:t>
      </w:r>
    </w:p>
    <w:p w14:paraId="74508FC7"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51A8BC0E"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sz w:val="22"/>
          <w:szCs w:val="22"/>
        </w:rPr>
        <w:t>Research Support Facility A (RSFA – 35A)</w:t>
      </w:r>
      <w:r>
        <w:rPr>
          <w:rStyle w:val="normaltextrun"/>
          <w:rFonts w:ascii="Arial" w:hAnsi="Arial" w:cs="Arial"/>
          <w:sz w:val="22"/>
          <w:szCs w:val="22"/>
        </w:rPr>
        <w:t xml:space="preserve">. The RSFA animal facility is a conventional 3,500 sq. ft. vivarium that houses aquatic species and rats. Larval salamander and freshwater turtles are housed in tanks with recirculating water systems. Feed is provided, water quality monitored and cleaning performed per species-specific SOP. Rats are housed in individually ventilated cages and water is offered via water bottle. Cage change is accomplished using changing stations (i.e. laminar flow hoods). Animals are fed dedicated rodent chow (5L0D </w:t>
      </w:r>
      <w:proofErr w:type="spellStart"/>
      <w:r>
        <w:rPr>
          <w:rStyle w:val="normaltextrun"/>
          <w:rFonts w:ascii="Arial" w:hAnsi="Arial" w:cs="Arial"/>
          <w:sz w:val="22"/>
          <w:szCs w:val="22"/>
        </w:rPr>
        <w:t>PicoLab</w:t>
      </w:r>
      <w:proofErr w:type="spellEnd"/>
      <w:r>
        <w:rPr>
          <w:rStyle w:val="normaltextrun"/>
          <w:rFonts w:ascii="Arial" w:hAnsi="Arial" w:cs="Arial"/>
          <w:sz w:val="22"/>
          <w:szCs w:val="22"/>
        </w:rPr>
        <w:t xml:space="preserve"> ® Laboratory Rodent Diet). Environmental parameters such as temperature, humidity, ventilation criteria and light are controlled and/or monitored via a computerized “Watchdog” system in each housing room. Caging and supplies are sanitized through a rack washer and/or sterilized via an autoclave in the facility as applicable. A surgical suite, several procedure rooms, and a necropsy room with a downdraft table are available within the vivarium. BSL2 studies (viral vectors) can be supported in this facility.  Animals can be returned from individual research labs as approved by the AV. Restricted access and PPE such as disposable gowns and gloves are required for entry to rodent housing area.</w:t>
      </w:r>
      <w:r>
        <w:rPr>
          <w:rStyle w:val="eop"/>
          <w:rFonts w:ascii="Arial" w:hAnsi="Arial" w:cs="Arial"/>
          <w:sz w:val="22"/>
          <w:szCs w:val="22"/>
        </w:rPr>
        <w:t> </w:t>
      </w:r>
    </w:p>
    <w:p w14:paraId="51433B2E"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4741F8BC" w14:textId="77777777"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074FB3B2" w14:textId="5897963A" w:rsidR="00E457D9" w:rsidRDefault="00E457D9" w:rsidP="00E457D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The</w:t>
      </w:r>
      <w:r w:rsidRPr="00E449C4">
        <w:rPr>
          <w:rStyle w:val="normaltextrun"/>
          <w:rFonts w:ascii="Arial" w:hAnsi="Arial" w:cs="Arial"/>
          <w:b/>
          <w:sz w:val="22"/>
          <w:szCs w:val="22"/>
        </w:rPr>
        <w:t xml:space="preserve"> FAU Cell Imaging Core within the College of Medicine/Brain Institute</w:t>
      </w:r>
      <w:r>
        <w:rPr>
          <w:rStyle w:val="normaltextrun"/>
          <w:rFonts w:ascii="Arial" w:hAnsi="Arial" w:cs="Arial"/>
          <w:sz w:val="22"/>
          <w:szCs w:val="22"/>
        </w:rPr>
        <w:t xml:space="preserve"> provides imaging services and light microscopy equipment to support scientific and clinical investigators at FAU and other institutions. Across the Boca and Jupiter campuses, the core houses five imaging systems, covering a variety of light microscopy techniques. Additionally, the core provides five powerful image data analysis workstations with advanced imaging software.</w:t>
      </w:r>
      <w:r>
        <w:rPr>
          <w:rStyle w:val="normaltextrun"/>
          <w:rFonts w:ascii="Calibri" w:hAnsi="Calibri" w:cs="Calibri"/>
          <w:sz w:val="22"/>
          <w:szCs w:val="22"/>
        </w:rPr>
        <w:t xml:space="preserve"> </w:t>
      </w:r>
      <w:r>
        <w:rPr>
          <w:rStyle w:val="normaltextrun"/>
          <w:rFonts w:ascii="Arial" w:hAnsi="Arial" w:cs="Arial"/>
          <w:sz w:val="22"/>
          <w:szCs w:val="22"/>
        </w:rPr>
        <w:t>Services of the FAU Cell Imaging Core include training on the equipment and experimental support. FAU’s Brain Institute entered a partnership with Nikon and became one of Nikon’s Centers of Excellence in 2016. Through this partnership, FAU and the Core have access to the latest optical systems (Nikon N-SIM E and A1+R combined Super Resolution and Confocal Imaging System) and benefit from excellent support by Nikon specialists.  </w:t>
      </w:r>
      <w:r>
        <w:rPr>
          <w:rStyle w:val="eop"/>
          <w:rFonts w:ascii="Arial" w:hAnsi="Arial" w:cs="Arial"/>
          <w:sz w:val="22"/>
          <w:szCs w:val="22"/>
        </w:rPr>
        <w:t> </w:t>
      </w:r>
    </w:p>
    <w:p w14:paraId="5663C51A" w14:textId="77777777" w:rsidR="00E457D9" w:rsidRDefault="00E457D9" w:rsidP="005336CD">
      <w:pPr>
        <w:spacing w:after="0" w:line="240" w:lineRule="auto"/>
        <w:jc w:val="both"/>
        <w:rPr>
          <w:rFonts w:ascii="Arial" w:eastAsia="Arial" w:hAnsi="Arial" w:cs="Arial"/>
          <w:b/>
          <w:sz w:val="24"/>
          <w:szCs w:val="24"/>
          <w:u w:val="single"/>
        </w:rPr>
      </w:pPr>
    </w:p>
    <w:p w14:paraId="60A9DED2" w14:textId="25CDBDA4" w:rsidR="00C45CB5" w:rsidRDefault="00C45CB5" w:rsidP="000C62D6">
      <w:pPr>
        <w:spacing w:after="0" w:line="240" w:lineRule="auto"/>
        <w:jc w:val="both"/>
        <w:rPr>
          <w:rFonts w:ascii="Arial" w:hAnsi="Arial" w:cs="Arial"/>
          <w:b/>
          <w:sz w:val="24"/>
          <w:szCs w:val="24"/>
        </w:rPr>
      </w:pPr>
      <w:r>
        <w:rPr>
          <w:rFonts w:ascii="Arial" w:eastAsia="Arial" w:hAnsi="Arial" w:cs="Arial"/>
          <w:b/>
          <w:sz w:val="24"/>
          <w:szCs w:val="24"/>
          <w:u w:val="single"/>
        </w:rPr>
        <w:t>Other Cores, Equipment and Services</w:t>
      </w:r>
    </w:p>
    <w:p w14:paraId="0E87FA1C" w14:textId="77777777" w:rsidR="00E457D9" w:rsidRDefault="00E457D9" w:rsidP="00E457D9">
      <w:pPr>
        <w:pStyle w:val="paragraph"/>
        <w:spacing w:before="0" w:beforeAutospacing="0" w:after="0" w:afterAutospacing="0"/>
        <w:jc w:val="both"/>
        <w:textAlignment w:val="baseline"/>
        <w:rPr>
          <w:rStyle w:val="normaltextrun"/>
          <w:rFonts w:ascii="Arial" w:hAnsi="Arial" w:cs="Arial"/>
          <w:b/>
          <w:bCs/>
          <w:sz w:val="22"/>
          <w:szCs w:val="22"/>
        </w:rPr>
      </w:pPr>
    </w:p>
    <w:p w14:paraId="5D3B83F8" w14:textId="7310DE5F" w:rsidR="000B7A83" w:rsidRDefault="005A4F10" w:rsidP="000B7A83">
      <w:pPr>
        <w:pStyle w:val="paragraph"/>
        <w:spacing w:before="0" w:beforeAutospacing="0" w:after="0" w:afterAutospacing="0"/>
        <w:jc w:val="both"/>
        <w:textAlignment w:val="baseline"/>
        <w:rPr>
          <w:rFonts w:ascii="Arial" w:eastAsia="Arial" w:hAnsi="Arial" w:cs="Arial"/>
          <w:b/>
          <w:u w:val="single"/>
        </w:rPr>
      </w:pPr>
      <w:bookmarkStart w:id="4" w:name="Assay-Development"/>
      <w:bookmarkEnd w:id="4"/>
      <w:r>
        <w:rPr>
          <w:rStyle w:val="normaltextrun"/>
          <w:rFonts w:ascii="Arial" w:hAnsi="Arial" w:cs="Arial"/>
          <w:sz w:val="22"/>
          <w:szCs w:val="22"/>
        </w:rPr>
        <w:t>d</w:t>
      </w:r>
    </w:p>
    <w:p w14:paraId="1AFA06BF" w14:textId="77777777" w:rsidR="00086AB8" w:rsidRPr="00586A90" w:rsidRDefault="00086AB8" w:rsidP="00086AB8">
      <w:pPr>
        <w:jc w:val="both"/>
        <w:rPr>
          <w:rFonts w:ascii="Arial" w:hAnsi="Arial" w:cs="Arial"/>
          <w:b/>
          <w:bCs/>
        </w:rPr>
      </w:pPr>
      <w:r w:rsidRPr="00586A90">
        <w:rPr>
          <w:rFonts w:ascii="Arial" w:hAnsi="Arial" w:cs="Arial"/>
          <w:b/>
          <w:bCs/>
        </w:rPr>
        <w:t>I-HEALTH/Center for Molecular Biology and Biotechnology (CMBB).</w:t>
      </w:r>
    </w:p>
    <w:p w14:paraId="04E1921A" w14:textId="77777777" w:rsidR="00086AB8" w:rsidRDefault="00086AB8" w:rsidP="00086AB8">
      <w:pPr>
        <w:autoSpaceDE w:val="0"/>
        <w:autoSpaceDN w:val="0"/>
        <w:adjustRightInd w:val="0"/>
        <w:jc w:val="both"/>
        <w:rPr>
          <w:rFonts w:ascii="Arial" w:hAnsi="Arial" w:cs="Arial"/>
          <w:color w:val="000000"/>
        </w:rPr>
      </w:pPr>
      <w:r w:rsidRPr="000C6848">
        <w:rPr>
          <w:rFonts w:ascii="Arial" w:hAnsi="Arial" w:cs="Arial"/>
          <w:b/>
          <w:bCs/>
          <w:color w:val="000000"/>
        </w:rPr>
        <w:t>Basic organic and peptide synthesis instrumentation</w:t>
      </w:r>
    </w:p>
    <w:p w14:paraId="5CAE9236" w14:textId="77777777" w:rsidR="00086AB8" w:rsidRPr="00700E13" w:rsidRDefault="00086AB8" w:rsidP="00086AB8">
      <w:pPr>
        <w:autoSpaceDE w:val="0"/>
        <w:autoSpaceDN w:val="0"/>
        <w:adjustRightInd w:val="0"/>
        <w:ind w:firstLine="360"/>
        <w:jc w:val="both"/>
        <w:rPr>
          <w:rFonts w:ascii="Arial" w:hAnsi="Arial" w:cs="Arial"/>
          <w:color w:val="000000"/>
        </w:rPr>
      </w:pPr>
      <w:r w:rsidRPr="00700E13">
        <w:rPr>
          <w:rFonts w:ascii="Arial" w:hAnsi="Arial" w:cs="Arial"/>
          <w:color w:val="000000"/>
        </w:rPr>
        <w:t xml:space="preserve">Fume hoods, Liberty Blue Microwave Peptide Synthesizer, analytical Agilent 1200 HPLC w/diode-array and fluorescence and UV/vis detectors &amp; automated sampler, preparative Agilent 1200 HPLC w/diode-array detectors &amp; fraction collectors, analytical Agilent HPLC, Jasco J-810 spectropolarimeter with PTC-348WI temperature control unit, </w:t>
      </w:r>
      <w:proofErr w:type="spellStart"/>
      <w:r w:rsidRPr="00700E13">
        <w:rPr>
          <w:rFonts w:ascii="Arial" w:hAnsi="Arial" w:cs="Arial"/>
          <w:color w:val="000000"/>
        </w:rPr>
        <w:t>Buchi</w:t>
      </w:r>
      <w:proofErr w:type="spellEnd"/>
      <w:r w:rsidRPr="00700E13">
        <w:rPr>
          <w:rFonts w:ascii="Arial" w:hAnsi="Arial" w:cs="Arial"/>
          <w:color w:val="000000"/>
        </w:rPr>
        <w:t xml:space="preserve"> rotary evaporator, </w:t>
      </w:r>
      <w:proofErr w:type="spellStart"/>
      <w:r w:rsidRPr="00700E13">
        <w:rPr>
          <w:rFonts w:ascii="Arial" w:hAnsi="Arial" w:cs="Arial"/>
          <w:color w:val="000000"/>
        </w:rPr>
        <w:t>Labconco</w:t>
      </w:r>
      <w:proofErr w:type="spellEnd"/>
      <w:r w:rsidRPr="00700E13">
        <w:rPr>
          <w:rFonts w:ascii="Arial" w:hAnsi="Arial" w:cs="Arial"/>
          <w:color w:val="000000"/>
        </w:rPr>
        <w:t xml:space="preserve"> Freezone 12plus freeze dry system, </w:t>
      </w:r>
      <w:proofErr w:type="spellStart"/>
      <w:r w:rsidRPr="00700E13">
        <w:rPr>
          <w:rFonts w:ascii="Arial" w:hAnsi="Arial" w:cs="Arial"/>
          <w:color w:val="000000"/>
        </w:rPr>
        <w:t>Virtis</w:t>
      </w:r>
      <w:proofErr w:type="spellEnd"/>
      <w:r w:rsidRPr="00700E13">
        <w:rPr>
          <w:rFonts w:ascii="Arial" w:hAnsi="Arial" w:cs="Arial"/>
          <w:color w:val="000000"/>
        </w:rPr>
        <w:t xml:space="preserve"> </w:t>
      </w:r>
      <w:proofErr w:type="spellStart"/>
      <w:r w:rsidRPr="00700E13">
        <w:rPr>
          <w:rFonts w:ascii="Arial" w:hAnsi="Arial" w:cs="Arial"/>
          <w:color w:val="000000"/>
        </w:rPr>
        <w:t>lyophilizer</w:t>
      </w:r>
      <w:proofErr w:type="spellEnd"/>
      <w:r w:rsidRPr="00700E13">
        <w:rPr>
          <w:rFonts w:ascii="Arial" w:hAnsi="Arial" w:cs="Arial"/>
          <w:color w:val="000000"/>
        </w:rPr>
        <w:t xml:space="preserve">, </w:t>
      </w:r>
      <w:proofErr w:type="spellStart"/>
      <w:r w:rsidRPr="00700E13">
        <w:rPr>
          <w:rFonts w:ascii="Arial" w:hAnsi="Arial" w:cs="Arial"/>
          <w:color w:val="000000"/>
        </w:rPr>
        <w:t>Labconoco</w:t>
      </w:r>
      <w:proofErr w:type="spellEnd"/>
      <w:r w:rsidRPr="00700E13">
        <w:rPr>
          <w:rFonts w:ascii="Arial" w:hAnsi="Arial" w:cs="Arial"/>
          <w:color w:val="000000"/>
        </w:rPr>
        <w:t xml:space="preserve"> freeze dryer, and Bruker </w:t>
      </w:r>
      <w:proofErr w:type="spellStart"/>
      <w:r w:rsidRPr="00700E13">
        <w:rPr>
          <w:rFonts w:ascii="Arial" w:hAnsi="Arial" w:cs="Arial"/>
          <w:color w:val="000000"/>
        </w:rPr>
        <w:t>Microflex</w:t>
      </w:r>
      <w:proofErr w:type="spellEnd"/>
      <w:r w:rsidRPr="00700E13">
        <w:rPr>
          <w:rFonts w:ascii="Arial" w:hAnsi="Arial" w:cs="Arial"/>
          <w:color w:val="000000"/>
        </w:rPr>
        <w:t xml:space="preserve"> LT mass spectrometer.</w:t>
      </w:r>
    </w:p>
    <w:p w14:paraId="23F8768E" w14:textId="77777777" w:rsidR="00086AB8" w:rsidRDefault="00086AB8" w:rsidP="00086AB8">
      <w:pPr>
        <w:autoSpaceDE w:val="0"/>
        <w:autoSpaceDN w:val="0"/>
        <w:adjustRightInd w:val="0"/>
        <w:jc w:val="both"/>
        <w:rPr>
          <w:rFonts w:ascii="Arial" w:hAnsi="Arial" w:cs="Arial"/>
          <w:color w:val="000000"/>
        </w:rPr>
      </w:pPr>
      <w:r w:rsidRPr="000C6848">
        <w:rPr>
          <w:rFonts w:ascii="Arial" w:hAnsi="Arial" w:cs="Arial"/>
          <w:b/>
          <w:bCs/>
          <w:color w:val="000000"/>
        </w:rPr>
        <w:t>Basic molecular biology instrumentation</w:t>
      </w:r>
    </w:p>
    <w:p w14:paraId="0DE8ECFF" w14:textId="77777777" w:rsidR="00086AB8" w:rsidRPr="00700E13" w:rsidRDefault="00086AB8" w:rsidP="00086AB8">
      <w:pPr>
        <w:autoSpaceDE w:val="0"/>
        <w:autoSpaceDN w:val="0"/>
        <w:adjustRightInd w:val="0"/>
        <w:ind w:firstLine="360"/>
        <w:jc w:val="both"/>
        <w:rPr>
          <w:rFonts w:ascii="Arial" w:hAnsi="Arial" w:cs="Arial"/>
          <w:color w:val="000000"/>
        </w:rPr>
      </w:pPr>
      <w:proofErr w:type="spellStart"/>
      <w:r w:rsidRPr="00700E13">
        <w:rPr>
          <w:rFonts w:ascii="Arial" w:hAnsi="Arial" w:cs="Arial"/>
          <w:color w:val="000000"/>
        </w:rPr>
        <w:t>BioRad</w:t>
      </w:r>
      <w:proofErr w:type="spellEnd"/>
      <w:r w:rsidRPr="00700E13">
        <w:rPr>
          <w:rFonts w:ascii="Arial" w:hAnsi="Arial" w:cs="Arial"/>
          <w:color w:val="000000"/>
        </w:rPr>
        <w:t xml:space="preserve"> </w:t>
      </w:r>
      <w:proofErr w:type="spellStart"/>
      <w:r w:rsidRPr="00700E13">
        <w:rPr>
          <w:rFonts w:ascii="Arial" w:hAnsi="Arial" w:cs="Arial"/>
          <w:color w:val="000000"/>
        </w:rPr>
        <w:t>Mycycler</w:t>
      </w:r>
      <w:proofErr w:type="spellEnd"/>
      <w:r w:rsidRPr="00700E13">
        <w:rPr>
          <w:rFonts w:ascii="Arial" w:hAnsi="Arial" w:cs="Arial"/>
          <w:color w:val="000000"/>
        </w:rPr>
        <w:t>, PCR thermal cyclers, MJ Research Opticon2 DNA Engine Real-Time Cycler, protein and DNA gel electrophoresis equipment (</w:t>
      </w:r>
      <w:proofErr w:type="spellStart"/>
      <w:r w:rsidRPr="00700E13">
        <w:rPr>
          <w:rFonts w:ascii="Arial" w:hAnsi="Arial" w:cs="Arial"/>
          <w:color w:val="000000"/>
        </w:rPr>
        <w:t>BioRad</w:t>
      </w:r>
      <w:proofErr w:type="spellEnd"/>
      <w:r w:rsidRPr="00700E13">
        <w:rPr>
          <w:rFonts w:ascii="Arial" w:hAnsi="Arial" w:cs="Arial"/>
          <w:color w:val="000000"/>
        </w:rPr>
        <w:t xml:space="preserve">), Agilent Bioanalyzer 2100P, </w:t>
      </w:r>
      <w:proofErr w:type="spellStart"/>
      <w:r w:rsidRPr="00700E13">
        <w:rPr>
          <w:rFonts w:ascii="Arial" w:hAnsi="Arial" w:cs="Arial"/>
          <w:color w:val="000000"/>
        </w:rPr>
        <w:t>nanoDrop</w:t>
      </w:r>
      <w:proofErr w:type="spellEnd"/>
      <w:r w:rsidRPr="00700E13">
        <w:rPr>
          <w:rFonts w:ascii="Arial" w:hAnsi="Arial" w:cs="Arial"/>
          <w:color w:val="000000"/>
        </w:rPr>
        <w:t xml:space="preserve"> 2000, benchtop Illuminator UV/Vis (UVP), Berthold </w:t>
      </w:r>
      <w:proofErr w:type="spellStart"/>
      <w:r w:rsidRPr="00700E13">
        <w:rPr>
          <w:rFonts w:ascii="Arial" w:hAnsi="Arial" w:cs="Arial"/>
          <w:color w:val="000000"/>
        </w:rPr>
        <w:t>CentroPRO</w:t>
      </w:r>
      <w:proofErr w:type="spellEnd"/>
      <w:r w:rsidRPr="00700E13">
        <w:rPr>
          <w:rFonts w:ascii="Arial" w:hAnsi="Arial" w:cs="Arial"/>
          <w:color w:val="000000"/>
        </w:rPr>
        <w:t xml:space="preserve"> luminometer, </w:t>
      </w:r>
      <w:proofErr w:type="spellStart"/>
      <w:r w:rsidRPr="00700E13">
        <w:rPr>
          <w:rFonts w:ascii="Arial" w:hAnsi="Arial" w:cs="Arial"/>
          <w:color w:val="000000"/>
        </w:rPr>
        <w:t>Syngene</w:t>
      </w:r>
      <w:proofErr w:type="spellEnd"/>
      <w:r w:rsidRPr="00700E13">
        <w:rPr>
          <w:rFonts w:ascii="Arial" w:hAnsi="Arial" w:cs="Arial"/>
          <w:color w:val="000000"/>
        </w:rPr>
        <w:t xml:space="preserve"> G:box gel imager, Odyssey Gel and Western Blot Imaging System (</w:t>
      </w:r>
      <w:proofErr w:type="spellStart"/>
      <w:r w:rsidRPr="00700E13">
        <w:rPr>
          <w:rFonts w:ascii="Arial" w:hAnsi="Arial" w:cs="Arial"/>
          <w:color w:val="000000"/>
        </w:rPr>
        <w:t>Licor</w:t>
      </w:r>
      <w:proofErr w:type="spellEnd"/>
      <w:r w:rsidRPr="00700E13">
        <w:rPr>
          <w:rFonts w:ascii="Arial" w:hAnsi="Arial" w:cs="Arial"/>
          <w:color w:val="000000"/>
        </w:rPr>
        <w:t xml:space="preserve">), Turbo Transfer, UV/visible spectrophotometers, microcentrifuges, </w:t>
      </w:r>
      <w:proofErr w:type="spellStart"/>
      <w:r w:rsidRPr="00700E13">
        <w:rPr>
          <w:rFonts w:ascii="Arial" w:hAnsi="Arial" w:cs="Arial"/>
          <w:color w:val="000000"/>
        </w:rPr>
        <w:t>sonicator</w:t>
      </w:r>
      <w:proofErr w:type="spellEnd"/>
      <w:r w:rsidRPr="00700E13">
        <w:rPr>
          <w:rFonts w:ascii="Arial" w:hAnsi="Arial" w:cs="Arial"/>
          <w:color w:val="000000"/>
        </w:rPr>
        <w:t xml:space="preserve">, gel dryer, </w:t>
      </w:r>
      <w:r w:rsidRPr="00700E13">
        <w:rPr>
          <w:rFonts w:ascii="Arial" w:hAnsi="Arial" w:cs="Arial"/>
          <w:color w:val="000000"/>
        </w:rPr>
        <w:lastRenderedPageBreak/>
        <w:t xml:space="preserve">analytical balances, automated pipettors, water bath and dry bath incubators, homogenizers, </w:t>
      </w:r>
      <w:proofErr w:type="spellStart"/>
      <w:r w:rsidRPr="00700E13">
        <w:rPr>
          <w:rFonts w:ascii="Arial" w:hAnsi="Arial" w:cs="Arial"/>
          <w:color w:val="000000"/>
        </w:rPr>
        <w:t>sonicators</w:t>
      </w:r>
      <w:proofErr w:type="spellEnd"/>
      <w:r w:rsidRPr="00700E13">
        <w:rPr>
          <w:rFonts w:ascii="Arial" w:hAnsi="Arial" w:cs="Arial"/>
          <w:color w:val="000000"/>
        </w:rPr>
        <w:t xml:space="preserve"> and sonicating baths, vacuum pumps, pH meter, and magnetic stirrers.</w:t>
      </w:r>
    </w:p>
    <w:p w14:paraId="0201D15B" w14:textId="77777777" w:rsidR="00086AB8" w:rsidRDefault="00086AB8" w:rsidP="00086AB8">
      <w:pPr>
        <w:autoSpaceDE w:val="0"/>
        <w:autoSpaceDN w:val="0"/>
        <w:adjustRightInd w:val="0"/>
        <w:jc w:val="both"/>
        <w:rPr>
          <w:rFonts w:ascii="Arial" w:hAnsi="Arial" w:cs="Arial"/>
          <w:iCs/>
          <w:color w:val="000000"/>
        </w:rPr>
      </w:pPr>
      <w:r w:rsidRPr="000C6848">
        <w:rPr>
          <w:rFonts w:ascii="Arial" w:hAnsi="Arial" w:cs="Arial"/>
          <w:b/>
          <w:bCs/>
          <w:color w:val="000000"/>
        </w:rPr>
        <w:t>Cell culture and microbiology instrumentation</w:t>
      </w:r>
    </w:p>
    <w:p w14:paraId="1AC94EDA" w14:textId="77777777" w:rsidR="00086AB8" w:rsidRPr="00F24FC2" w:rsidRDefault="00086AB8" w:rsidP="00086AB8">
      <w:pPr>
        <w:autoSpaceDE w:val="0"/>
        <w:autoSpaceDN w:val="0"/>
        <w:adjustRightInd w:val="0"/>
        <w:ind w:firstLine="360"/>
        <w:jc w:val="both"/>
        <w:rPr>
          <w:rFonts w:ascii="Arial" w:hAnsi="Arial" w:cs="Arial"/>
          <w:color w:val="000000"/>
        </w:rPr>
      </w:pPr>
      <w:proofErr w:type="spellStart"/>
      <w:r w:rsidRPr="00F24FC2">
        <w:rPr>
          <w:rFonts w:ascii="Arial" w:hAnsi="Arial" w:cs="Arial"/>
          <w:color w:val="000000"/>
        </w:rPr>
        <w:t>Biotek</w:t>
      </w:r>
      <w:proofErr w:type="spellEnd"/>
      <w:r w:rsidRPr="00F24FC2">
        <w:rPr>
          <w:rFonts w:ascii="Arial" w:hAnsi="Arial" w:cs="Arial"/>
          <w:color w:val="000000"/>
        </w:rPr>
        <w:t xml:space="preserve"> </w:t>
      </w:r>
      <w:proofErr w:type="spellStart"/>
      <w:r w:rsidRPr="00F24FC2">
        <w:rPr>
          <w:rFonts w:ascii="Arial" w:hAnsi="Arial" w:cs="Arial"/>
          <w:color w:val="000000"/>
        </w:rPr>
        <w:t>Cytation</w:t>
      </w:r>
      <w:proofErr w:type="spellEnd"/>
      <w:r w:rsidRPr="00F24FC2">
        <w:rPr>
          <w:rFonts w:ascii="Arial" w:hAnsi="Arial" w:cs="Arial"/>
          <w:color w:val="000000"/>
        </w:rPr>
        <w:t xml:space="preserve"> 5 cell imaging multi-Mode reader, Nikon Confocal Olympus Fluorescence microscope, EVOS </w:t>
      </w:r>
      <w:proofErr w:type="spellStart"/>
      <w:r w:rsidRPr="00F24FC2">
        <w:rPr>
          <w:rFonts w:ascii="Arial" w:hAnsi="Arial" w:cs="Arial"/>
          <w:color w:val="000000"/>
        </w:rPr>
        <w:t>Floid</w:t>
      </w:r>
      <w:proofErr w:type="spellEnd"/>
      <w:r w:rsidRPr="00F24FC2">
        <w:rPr>
          <w:rFonts w:ascii="Arial" w:hAnsi="Arial" w:cs="Arial"/>
          <w:color w:val="000000"/>
        </w:rPr>
        <w:t xml:space="preserve"> Fluorescent Cell Imaging Station, ZOE fluorescent cell imager, </w:t>
      </w:r>
      <w:proofErr w:type="spellStart"/>
      <w:r w:rsidRPr="00F24FC2">
        <w:rPr>
          <w:rFonts w:ascii="Arial" w:hAnsi="Arial" w:cs="Arial"/>
          <w:color w:val="000000"/>
        </w:rPr>
        <w:t>Cellgene</w:t>
      </w:r>
      <w:proofErr w:type="spellEnd"/>
      <w:r w:rsidRPr="00F24FC2">
        <w:rPr>
          <w:rFonts w:ascii="Arial" w:hAnsi="Arial" w:cs="Arial"/>
          <w:color w:val="000000"/>
        </w:rPr>
        <w:t xml:space="preserve"> cell counter, Sartorius-Bioreactor, laminar flow hood, two CO</w:t>
      </w:r>
      <w:r w:rsidRPr="00F24FC2">
        <w:rPr>
          <w:rFonts w:ascii="Arial" w:hAnsi="Arial" w:cs="Arial"/>
          <w:color w:val="000000"/>
          <w:vertAlign w:val="subscript"/>
        </w:rPr>
        <w:t>2</w:t>
      </w:r>
      <w:r w:rsidRPr="00F24FC2">
        <w:rPr>
          <w:rFonts w:ascii="Arial" w:hAnsi="Arial" w:cs="Arial"/>
          <w:color w:val="000000"/>
        </w:rPr>
        <w:t xml:space="preserve"> incubators, Eppendorf 5810R centrifuge, Class II Type A Biosafety Cabinet for bacterial work, </w:t>
      </w:r>
      <w:proofErr w:type="spellStart"/>
      <w:r w:rsidRPr="00F24FC2">
        <w:rPr>
          <w:rFonts w:ascii="Arial" w:hAnsi="Arial" w:cs="Arial"/>
          <w:color w:val="000000"/>
        </w:rPr>
        <w:t>Thermofisher</w:t>
      </w:r>
      <w:proofErr w:type="spellEnd"/>
      <w:r w:rsidRPr="00F24FC2">
        <w:rPr>
          <w:rFonts w:ascii="Arial" w:hAnsi="Arial" w:cs="Arial"/>
          <w:color w:val="000000"/>
        </w:rPr>
        <w:t xml:space="preserve"> </w:t>
      </w:r>
      <w:proofErr w:type="spellStart"/>
      <w:r w:rsidRPr="00F24FC2">
        <w:rPr>
          <w:rFonts w:ascii="Arial" w:hAnsi="Arial" w:cs="Arial"/>
          <w:color w:val="000000"/>
        </w:rPr>
        <w:t>MaxQ</w:t>
      </w:r>
      <w:proofErr w:type="spellEnd"/>
      <w:r w:rsidRPr="00F24FC2">
        <w:rPr>
          <w:rFonts w:ascii="Arial" w:hAnsi="Arial" w:cs="Arial"/>
          <w:color w:val="000000"/>
        </w:rPr>
        <w:t xml:space="preserve"> 6000 incubator/shaker, Legend XTR centrifuge, bright field microscope, inverted phase contrast microscope, automated cell counter, Innova 4000 Benchtop Incubator Shaker, Thermo Scientific </w:t>
      </w:r>
      <w:proofErr w:type="spellStart"/>
      <w:r w:rsidRPr="00F24FC2">
        <w:rPr>
          <w:rFonts w:ascii="Arial" w:hAnsi="Arial" w:cs="Arial"/>
          <w:color w:val="000000"/>
        </w:rPr>
        <w:t>MaxQ</w:t>
      </w:r>
      <w:proofErr w:type="spellEnd"/>
      <w:r w:rsidRPr="00F24FC2">
        <w:rPr>
          <w:rFonts w:ascii="Arial" w:hAnsi="Arial" w:cs="Arial"/>
          <w:color w:val="000000"/>
        </w:rPr>
        <w:t xml:space="preserve"> 5000 Shaker/Incubator, and Branson </w:t>
      </w:r>
      <w:proofErr w:type="spellStart"/>
      <w:r w:rsidRPr="00F24FC2">
        <w:rPr>
          <w:rFonts w:ascii="Arial" w:hAnsi="Arial" w:cs="Arial"/>
          <w:color w:val="000000"/>
        </w:rPr>
        <w:t>sonicator</w:t>
      </w:r>
      <w:proofErr w:type="spellEnd"/>
      <w:r w:rsidRPr="00F24FC2">
        <w:rPr>
          <w:rFonts w:ascii="Arial" w:hAnsi="Arial" w:cs="Arial"/>
          <w:color w:val="000000"/>
        </w:rPr>
        <w:t>. Both cell culture facilities on the MC17 second floor are BSL-2 facilities.</w:t>
      </w:r>
    </w:p>
    <w:p w14:paraId="107644F0" w14:textId="77777777" w:rsidR="00086AB8" w:rsidRDefault="00086AB8" w:rsidP="00086AB8">
      <w:pPr>
        <w:autoSpaceDE w:val="0"/>
        <w:autoSpaceDN w:val="0"/>
        <w:adjustRightInd w:val="0"/>
        <w:jc w:val="both"/>
        <w:rPr>
          <w:rFonts w:ascii="Arial" w:hAnsi="Arial" w:cs="Arial"/>
          <w:b/>
          <w:bCs/>
          <w:color w:val="000000"/>
        </w:rPr>
      </w:pPr>
      <w:r w:rsidRPr="000C6848">
        <w:rPr>
          <w:rFonts w:ascii="Arial" w:hAnsi="Arial" w:cs="Arial"/>
          <w:b/>
          <w:bCs/>
          <w:color w:val="000000"/>
        </w:rPr>
        <w:t>Protein purification instrumentation</w:t>
      </w:r>
    </w:p>
    <w:p w14:paraId="243F5C31" w14:textId="77777777" w:rsidR="00086AB8" w:rsidRPr="00700E13" w:rsidRDefault="00086AB8" w:rsidP="00086AB8">
      <w:pPr>
        <w:autoSpaceDE w:val="0"/>
        <w:autoSpaceDN w:val="0"/>
        <w:adjustRightInd w:val="0"/>
        <w:ind w:firstLine="360"/>
        <w:jc w:val="both"/>
        <w:rPr>
          <w:rFonts w:ascii="Arial" w:hAnsi="Arial" w:cs="Arial"/>
          <w:color w:val="000000"/>
        </w:rPr>
      </w:pPr>
      <w:proofErr w:type="spellStart"/>
      <w:r w:rsidRPr="00700E13">
        <w:rPr>
          <w:rFonts w:ascii="Arial" w:hAnsi="Arial" w:cs="Arial"/>
          <w:color w:val="000000"/>
        </w:rPr>
        <w:t>Amersham</w:t>
      </w:r>
      <w:proofErr w:type="spellEnd"/>
      <w:r w:rsidRPr="00700E13">
        <w:rPr>
          <w:rFonts w:ascii="Arial" w:hAnsi="Arial" w:cs="Arial"/>
          <w:color w:val="000000"/>
        </w:rPr>
        <w:t>/GE ÄKTAFPLC protein purification system, Bio-Rad NGC chromatography system (preparative FPLC), and chromatography refrigerated cabinet.</w:t>
      </w:r>
    </w:p>
    <w:p w14:paraId="503BBBF5" w14:textId="77777777" w:rsidR="00086AB8" w:rsidRDefault="00086AB8" w:rsidP="00086AB8">
      <w:pPr>
        <w:autoSpaceDE w:val="0"/>
        <w:autoSpaceDN w:val="0"/>
        <w:adjustRightInd w:val="0"/>
        <w:jc w:val="both"/>
        <w:rPr>
          <w:rFonts w:ascii="Arial" w:hAnsi="Arial" w:cs="Arial"/>
          <w:b/>
          <w:bCs/>
          <w:color w:val="000000"/>
        </w:rPr>
      </w:pPr>
      <w:r w:rsidRPr="000C6848">
        <w:rPr>
          <w:rFonts w:ascii="Arial" w:hAnsi="Arial" w:cs="Arial"/>
          <w:b/>
          <w:bCs/>
          <w:color w:val="000000"/>
        </w:rPr>
        <w:t>Enzymology instrumentation</w:t>
      </w:r>
    </w:p>
    <w:p w14:paraId="1EA68E3B" w14:textId="77777777" w:rsidR="00086AB8" w:rsidRPr="00700E13" w:rsidRDefault="00086AB8" w:rsidP="00086AB8">
      <w:pPr>
        <w:autoSpaceDE w:val="0"/>
        <w:autoSpaceDN w:val="0"/>
        <w:adjustRightInd w:val="0"/>
        <w:ind w:firstLine="360"/>
        <w:jc w:val="both"/>
        <w:rPr>
          <w:rFonts w:ascii="Arial" w:hAnsi="Arial" w:cs="Arial"/>
          <w:color w:val="000000"/>
        </w:rPr>
      </w:pPr>
      <w:proofErr w:type="spellStart"/>
      <w:r w:rsidRPr="00700E13">
        <w:rPr>
          <w:rFonts w:ascii="Arial" w:hAnsi="Arial" w:cs="Arial"/>
          <w:color w:val="000000"/>
        </w:rPr>
        <w:t>Biotek</w:t>
      </w:r>
      <w:proofErr w:type="spellEnd"/>
      <w:r w:rsidRPr="00700E13">
        <w:rPr>
          <w:rFonts w:ascii="Arial" w:hAnsi="Arial" w:cs="Arial"/>
          <w:color w:val="000000"/>
        </w:rPr>
        <w:t xml:space="preserve"> Synergy H1 Microplate Reader, Molecular Devices </w:t>
      </w:r>
      <w:proofErr w:type="spellStart"/>
      <w:r w:rsidRPr="00700E13">
        <w:rPr>
          <w:rFonts w:ascii="Arial" w:hAnsi="Arial" w:cs="Arial"/>
          <w:color w:val="000000"/>
        </w:rPr>
        <w:t>ThermoMax</w:t>
      </w:r>
      <w:proofErr w:type="spellEnd"/>
      <w:r w:rsidRPr="00700E13">
        <w:rPr>
          <w:rFonts w:ascii="Arial" w:hAnsi="Arial" w:cs="Arial"/>
          <w:color w:val="000000"/>
        </w:rPr>
        <w:t xml:space="preserve"> 96-well UV/vis absorbance plate reader, and Molecular Devices </w:t>
      </w:r>
      <w:proofErr w:type="spellStart"/>
      <w:r w:rsidRPr="00700E13">
        <w:rPr>
          <w:rFonts w:ascii="Arial" w:hAnsi="Arial" w:cs="Arial"/>
          <w:color w:val="000000"/>
        </w:rPr>
        <w:t>SpectraMax</w:t>
      </w:r>
      <w:proofErr w:type="spellEnd"/>
      <w:r w:rsidRPr="00700E13">
        <w:rPr>
          <w:rFonts w:ascii="Arial" w:hAnsi="Arial" w:cs="Arial"/>
          <w:color w:val="000000"/>
        </w:rPr>
        <w:t xml:space="preserve"> Gemini 96/384-well fluorescence plate reader.</w:t>
      </w:r>
    </w:p>
    <w:p w14:paraId="21E8D07A" w14:textId="77777777" w:rsidR="00086AB8" w:rsidRDefault="00086AB8" w:rsidP="00086AB8">
      <w:pPr>
        <w:autoSpaceDE w:val="0"/>
        <w:autoSpaceDN w:val="0"/>
        <w:adjustRightInd w:val="0"/>
        <w:jc w:val="both"/>
        <w:rPr>
          <w:rFonts w:ascii="Arial" w:hAnsi="Arial" w:cs="Arial"/>
          <w:i/>
          <w:iCs/>
          <w:color w:val="000000"/>
        </w:rPr>
      </w:pPr>
      <w:r w:rsidRPr="000C6848">
        <w:rPr>
          <w:rFonts w:ascii="Arial" w:hAnsi="Arial" w:cs="Arial"/>
          <w:b/>
          <w:bCs/>
          <w:color w:val="000000"/>
        </w:rPr>
        <w:t>Other:</w:t>
      </w:r>
    </w:p>
    <w:p w14:paraId="7B92A1D2" w14:textId="77777777" w:rsidR="00086AB8" w:rsidRPr="00700E13" w:rsidRDefault="00086AB8" w:rsidP="00086AB8">
      <w:pPr>
        <w:autoSpaceDE w:val="0"/>
        <w:autoSpaceDN w:val="0"/>
        <w:adjustRightInd w:val="0"/>
        <w:ind w:firstLine="360"/>
        <w:jc w:val="both"/>
        <w:rPr>
          <w:rFonts w:ascii="Arial" w:hAnsi="Arial" w:cs="Arial"/>
          <w:color w:val="000000"/>
        </w:rPr>
      </w:pPr>
      <w:r>
        <w:rPr>
          <w:rFonts w:ascii="Arial" w:hAnsi="Arial" w:cs="Arial"/>
          <w:color w:val="000000"/>
        </w:rPr>
        <w:t>N</w:t>
      </w:r>
      <w:r w:rsidRPr="00700E13">
        <w:rPr>
          <w:rFonts w:ascii="Arial" w:hAnsi="Arial" w:cs="Arial"/>
          <w:color w:val="000000"/>
        </w:rPr>
        <w:t>orthern Lipids LIPEX Extruder and electroporation apparatus.</w:t>
      </w:r>
    </w:p>
    <w:p w14:paraId="7B2B87E6" w14:textId="77777777" w:rsidR="00086AB8" w:rsidRDefault="00086AB8" w:rsidP="00086AB8">
      <w:pPr>
        <w:autoSpaceDE w:val="0"/>
        <w:autoSpaceDN w:val="0"/>
        <w:adjustRightInd w:val="0"/>
        <w:jc w:val="both"/>
        <w:rPr>
          <w:rFonts w:ascii="Arial" w:hAnsi="Arial" w:cs="Arial"/>
          <w:b/>
          <w:bCs/>
          <w:color w:val="000000"/>
        </w:rPr>
      </w:pPr>
      <w:r w:rsidRPr="000C6848">
        <w:rPr>
          <w:rFonts w:ascii="Arial" w:hAnsi="Arial" w:cs="Arial"/>
          <w:b/>
          <w:bCs/>
          <w:color w:val="000000"/>
        </w:rPr>
        <w:t>General and storage equipment</w:t>
      </w:r>
    </w:p>
    <w:p w14:paraId="50097232" w14:textId="77777777" w:rsidR="00086AB8" w:rsidRPr="00700E13" w:rsidRDefault="00086AB8" w:rsidP="00086AB8">
      <w:pPr>
        <w:autoSpaceDE w:val="0"/>
        <w:autoSpaceDN w:val="0"/>
        <w:adjustRightInd w:val="0"/>
        <w:ind w:firstLine="360"/>
        <w:jc w:val="both"/>
        <w:rPr>
          <w:rFonts w:ascii="Arial" w:hAnsi="Arial" w:cs="Arial"/>
          <w:color w:val="000000"/>
        </w:rPr>
      </w:pPr>
      <w:r w:rsidRPr="00700E13">
        <w:rPr>
          <w:rFonts w:ascii="Arial" w:hAnsi="Arial" w:cs="Arial"/>
          <w:color w:val="000000"/>
        </w:rPr>
        <w:t>-80 °C freezer, -30 °C freezer, refrigerators, “Locator 6+” cryogenic storage unit, a shaker/roller system, water baths, bench top refrigerated microcentrifuge 5424R (</w:t>
      </w:r>
      <w:proofErr w:type="spellStart"/>
      <w:r w:rsidRPr="00700E13">
        <w:rPr>
          <w:rFonts w:ascii="Arial" w:hAnsi="Arial" w:cs="Arial"/>
          <w:color w:val="000000"/>
        </w:rPr>
        <w:t>Ependorf</w:t>
      </w:r>
      <w:proofErr w:type="spellEnd"/>
      <w:r w:rsidRPr="00700E13">
        <w:rPr>
          <w:rFonts w:ascii="Arial" w:hAnsi="Arial" w:cs="Arial"/>
          <w:color w:val="000000"/>
        </w:rPr>
        <w:t xml:space="preserve">), </w:t>
      </w:r>
      <w:proofErr w:type="spellStart"/>
      <w:r w:rsidRPr="00700E13">
        <w:rPr>
          <w:rFonts w:ascii="Arial" w:hAnsi="Arial" w:cs="Arial"/>
          <w:color w:val="000000"/>
        </w:rPr>
        <w:t>Labconoco</w:t>
      </w:r>
      <w:proofErr w:type="spellEnd"/>
      <w:r w:rsidRPr="00700E13">
        <w:rPr>
          <w:rFonts w:ascii="Arial" w:hAnsi="Arial" w:cs="Arial"/>
          <w:color w:val="000000"/>
        </w:rPr>
        <w:t xml:space="preserve"> </w:t>
      </w:r>
      <w:proofErr w:type="spellStart"/>
      <w:r w:rsidRPr="00700E13">
        <w:rPr>
          <w:rFonts w:ascii="Arial" w:hAnsi="Arial" w:cs="Arial"/>
          <w:color w:val="000000"/>
        </w:rPr>
        <w:t>SpeedVac</w:t>
      </w:r>
      <w:proofErr w:type="spellEnd"/>
      <w:r w:rsidRPr="00700E13">
        <w:rPr>
          <w:rFonts w:ascii="Arial" w:hAnsi="Arial" w:cs="Arial"/>
          <w:color w:val="000000"/>
        </w:rPr>
        <w:t xml:space="preserve">, high-speed and high-capacity centrifuges (Beckman L8-80M, Beckman Optima Max–TL, </w:t>
      </w:r>
      <w:proofErr w:type="spellStart"/>
      <w:r w:rsidRPr="00700E13">
        <w:rPr>
          <w:rFonts w:ascii="Arial" w:hAnsi="Arial" w:cs="Arial"/>
          <w:color w:val="000000"/>
        </w:rPr>
        <w:t>Sorvall</w:t>
      </w:r>
      <w:proofErr w:type="spellEnd"/>
      <w:r w:rsidRPr="00700E13">
        <w:rPr>
          <w:rFonts w:ascii="Arial" w:hAnsi="Arial" w:cs="Arial"/>
          <w:color w:val="000000"/>
        </w:rPr>
        <w:t xml:space="preserve"> RC-5C), KNF LABOPORT vacuum pump, </w:t>
      </w:r>
      <w:proofErr w:type="spellStart"/>
      <w:r w:rsidRPr="00700E13">
        <w:rPr>
          <w:rFonts w:ascii="Arial" w:hAnsi="Arial" w:cs="Arial"/>
          <w:color w:val="000000"/>
        </w:rPr>
        <w:t>Accumet</w:t>
      </w:r>
      <w:proofErr w:type="spellEnd"/>
      <w:r w:rsidRPr="00700E13">
        <w:rPr>
          <w:rFonts w:ascii="Arial" w:hAnsi="Arial" w:cs="Arial"/>
          <w:color w:val="000000"/>
        </w:rPr>
        <w:t xml:space="preserve"> pH meter, analytical balance (Mettler), darkroom for film development, cold room, and specimen storage.</w:t>
      </w:r>
    </w:p>
    <w:p w14:paraId="72FADC25" w14:textId="1A456498" w:rsidR="00C45CB5" w:rsidRPr="00D916FB" w:rsidRDefault="00C45CB5" w:rsidP="00C45CB5">
      <w:pPr>
        <w:rPr>
          <w:rFonts w:ascii="Arial" w:hAnsi="Arial" w:cs="Arial"/>
          <w:b/>
          <w:bCs/>
          <w:color w:val="000000"/>
        </w:rPr>
      </w:pPr>
      <w:r w:rsidRPr="00D916FB">
        <w:rPr>
          <w:rFonts w:ascii="Arial" w:hAnsi="Arial" w:cs="Arial"/>
          <w:b/>
          <w:bCs/>
          <w:color w:val="000000"/>
        </w:rPr>
        <w:t>I-SENSE</w:t>
      </w:r>
    </w:p>
    <w:p w14:paraId="1CDC7121" w14:textId="77777777" w:rsidR="00C45CB5" w:rsidRPr="00D85E15" w:rsidRDefault="00C45CB5" w:rsidP="00C45CB5">
      <w:pPr>
        <w:jc w:val="both"/>
        <w:rPr>
          <w:rFonts w:ascii="Arial" w:hAnsi="Arial" w:cs="Arial"/>
        </w:rPr>
      </w:pPr>
      <w:r w:rsidRPr="00333D25">
        <w:rPr>
          <w:rFonts w:ascii="Arial" w:hAnsi="Arial" w:cs="Arial"/>
          <w:bCs/>
        </w:rPr>
        <w:t xml:space="preserve">The College </w:t>
      </w:r>
      <w:r w:rsidRPr="00333D25">
        <w:rPr>
          <w:rFonts w:ascii="Arial" w:hAnsi="Arial" w:cs="Arial"/>
          <w:color w:val="000000"/>
        </w:rPr>
        <w:t>of Engineering &amp; Computer Science</w:t>
      </w:r>
      <w:r w:rsidRPr="00333D25">
        <w:rPr>
          <w:rFonts w:ascii="Arial" w:hAnsi="Arial" w:cs="Arial"/>
          <w:bCs/>
        </w:rPr>
        <w:t xml:space="preserve"> manages two fully loaded and functional machine shops which include </w:t>
      </w:r>
      <w:r>
        <w:rPr>
          <w:rFonts w:ascii="Arial" w:hAnsi="Arial" w:cs="Arial"/>
          <w:bCs/>
        </w:rPr>
        <w:t xml:space="preserve">a drill press, a </w:t>
      </w:r>
      <w:proofErr w:type="spellStart"/>
      <w:r>
        <w:rPr>
          <w:rFonts w:ascii="Arial" w:hAnsi="Arial" w:cs="Arial"/>
          <w:bCs/>
        </w:rPr>
        <w:t>Harig</w:t>
      </w:r>
      <w:proofErr w:type="spellEnd"/>
      <w:r>
        <w:rPr>
          <w:rFonts w:ascii="Arial" w:hAnsi="Arial" w:cs="Arial"/>
          <w:bCs/>
        </w:rPr>
        <w:t xml:space="preserve"> grinding table, 5 lathes (Bolton enclosed CNC, </w:t>
      </w:r>
      <w:proofErr w:type="spellStart"/>
      <w:r>
        <w:rPr>
          <w:rFonts w:ascii="Arial" w:hAnsi="Arial" w:cs="Arial"/>
          <w:bCs/>
        </w:rPr>
        <w:t>Hurco</w:t>
      </w:r>
      <w:proofErr w:type="spellEnd"/>
      <w:r>
        <w:rPr>
          <w:rFonts w:ascii="Arial" w:hAnsi="Arial" w:cs="Arial"/>
          <w:bCs/>
        </w:rPr>
        <w:t xml:space="preserve"> enclosed CNC, </w:t>
      </w:r>
      <w:proofErr w:type="spellStart"/>
      <w:r>
        <w:rPr>
          <w:rFonts w:ascii="Arial" w:hAnsi="Arial" w:cs="Arial"/>
          <w:bCs/>
        </w:rPr>
        <w:t>Clausing</w:t>
      </w:r>
      <w:proofErr w:type="spellEnd"/>
      <w:r>
        <w:rPr>
          <w:rFonts w:ascii="Arial" w:hAnsi="Arial" w:cs="Arial"/>
          <w:bCs/>
        </w:rPr>
        <w:t xml:space="preserve"> CJ550VSJ 15” manual, </w:t>
      </w:r>
      <w:proofErr w:type="spellStart"/>
      <w:r>
        <w:rPr>
          <w:rFonts w:ascii="Arial" w:hAnsi="Arial" w:cs="Arial"/>
          <w:bCs/>
        </w:rPr>
        <w:t>Clausing</w:t>
      </w:r>
      <w:proofErr w:type="spellEnd"/>
      <w:r>
        <w:rPr>
          <w:rFonts w:ascii="Arial" w:hAnsi="Arial" w:cs="Arial"/>
          <w:bCs/>
        </w:rPr>
        <w:t xml:space="preserve"> Professional 15 manual, and Collet manual tool), 5 mills (Top Well Bed 40 CNC, </w:t>
      </w:r>
      <w:proofErr w:type="spellStart"/>
      <w:r>
        <w:rPr>
          <w:rFonts w:ascii="Arial" w:hAnsi="Arial" w:cs="Arial"/>
          <w:bCs/>
        </w:rPr>
        <w:t>Hurco</w:t>
      </w:r>
      <w:proofErr w:type="spellEnd"/>
      <w:r>
        <w:rPr>
          <w:rFonts w:ascii="Arial" w:hAnsi="Arial" w:cs="Arial"/>
          <w:bCs/>
        </w:rPr>
        <w:t xml:space="preserve"> TM10i enclosed CNC, </w:t>
      </w:r>
      <w:proofErr w:type="spellStart"/>
      <w:r>
        <w:rPr>
          <w:rFonts w:ascii="Arial" w:hAnsi="Arial" w:cs="Arial"/>
          <w:bCs/>
        </w:rPr>
        <w:t>Clausing</w:t>
      </w:r>
      <w:proofErr w:type="spellEnd"/>
      <w:r>
        <w:rPr>
          <w:rFonts w:ascii="Arial" w:hAnsi="Arial" w:cs="Arial"/>
          <w:bCs/>
        </w:rPr>
        <w:t xml:space="preserve"> knee R8 power feed, and 2 </w:t>
      </w:r>
      <w:proofErr w:type="spellStart"/>
      <w:r>
        <w:rPr>
          <w:rFonts w:ascii="Arial" w:hAnsi="Arial" w:cs="Arial"/>
          <w:bCs/>
        </w:rPr>
        <w:t>Clausing</w:t>
      </w:r>
      <w:proofErr w:type="spellEnd"/>
      <w:r>
        <w:rPr>
          <w:rFonts w:ascii="Arial" w:hAnsi="Arial" w:cs="Arial"/>
          <w:bCs/>
        </w:rPr>
        <w:t xml:space="preserve"> knee 40 CNCs), a sander, 3 saws (band, Bolton cutoff, and </w:t>
      </w:r>
      <w:proofErr w:type="spellStart"/>
      <w:r>
        <w:rPr>
          <w:rFonts w:ascii="Arial" w:hAnsi="Arial" w:cs="Arial"/>
          <w:bCs/>
        </w:rPr>
        <w:t>Dake</w:t>
      </w:r>
      <w:proofErr w:type="spellEnd"/>
      <w:r>
        <w:rPr>
          <w:rFonts w:ascii="Arial" w:hAnsi="Arial" w:cs="Arial"/>
          <w:bCs/>
        </w:rPr>
        <w:t xml:space="preserve"> Johnson VH24 </w:t>
      </w:r>
      <w:proofErr w:type="spellStart"/>
      <w:r>
        <w:rPr>
          <w:rFonts w:ascii="Arial" w:hAnsi="Arial" w:cs="Arial"/>
          <w:bCs/>
        </w:rPr>
        <w:t>verticle</w:t>
      </w:r>
      <w:proofErr w:type="spellEnd"/>
      <w:r>
        <w:rPr>
          <w:rFonts w:ascii="Arial" w:hAnsi="Arial" w:cs="Arial"/>
          <w:bCs/>
        </w:rPr>
        <w:t xml:space="preserve"> band), a water jet, 3 welders (MIG, plasma, and TIG), and a Lincoln </w:t>
      </w:r>
      <w:proofErr w:type="spellStart"/>
      <w:r>
        <w:rPr>
          <w:rFonts w:ascii="Arial" w:hAnsi="Arial" w:cs="Arial"/>
          <w:bCs/>
        </w:rPr>
        <w:t>Torchmate</w:t>
      </w:r>
      <w:proofErr w:type="spellEnd"/>
      <w:r>
        <w:rPr>
          <w:rFonts w:ascii="Arial" w:hAnsi="Arial" w:cs="Arial"/>
          <w:bCs/>
        </w:rPr>
        <w:t xml:space="preserve"> 4800 plasma table. </w:t>
      </w:r>
      <w:r w:rsidRPr="00333D25">
        <w:rPr>
          <w:rFonts w:ascii="Arial" w:hAnsi="Arial" w:cs="Arial"/>
        </w:rPr>
        <w:t>Representative instruments of I-SENSE include a large-volume laser cutter, PCB printer, a variety of 3-D printers, soldering stations, oscilloscopes, digital inspection microscopes, testing harnesses, spectrum analyzers, and a range of standard COTS hardware. The College of Engineering provides additional access to multiple prototyping facilities, test and measurement laboratories, and parts rooms.</w:t>
      </w:r>
    </w:p>
    <w:p w14:paraId="20BDB748" w14:textId="77777777" w:rsidR="00C45CB5" w:rsidRDefault="00C45CB5">
      <w:pPr>
        <w:spacing w:after="0" w:line="240" w:lineRule="auto"/>
        <w:jc w:val="both"/>
        <w:rPr>
          <w:rFonts w:ascii="Arial" w:eastAsia="Arial" w:hAnsi="Arial" w:cs="Arial"/>
          <w:b/>
          <w:sz w:val="24"/>
          <w:szCs w:val="24"/>
          <w:u w:val="single"/>
        </w:rPr>
      </w:pPr>
    </w:p>
    <w:p w14:paraId="70735C8A" w14:textId="77777777" w:rsidR="00C45CB5" w:rsidRDefault="00C45CB5" w:rsidP="00C45CB5">
      <w:pPr>
        <w:jc w:val="both"/>
        <w:rPr>
          <w:rFonts w:ascii="Arial" w:hAnsi="Arial" w:cs="Arial"/>
        </w:rPr>
      </w:pPr>
      <w:r w:rsidRPr="00586A90">
        <w:rPr>
          <w:rFonts w:ascii="Arial" w:hAnsi="Arial" w:cs="Arial"/>
          <w:b/>
          <w:bCs/>
          <w:iCs/>
        </w:rPr>
        <w:t>Department of Chemistry &amp; Biochemistry shared equipment</w:t>
      </w:r>
      <w:r>
        <w:rPr>
          <w:rFonts w:ascii="Arial" w:hAnsi="Arial" w:cs="Arial"/>
          <w:b/>
          <w:bCs/>
          <w:iCs/>
        </w:rPr>
        <w:t>.</w:t>
      </w:r>
    </w:p>
    <w:p w14:paraId="14B20C07" w14:textId="77777777" w:rsidR="00C45CB5" w:rsidRPr="00AB25C0" w:rsidRDefault="00C45CB5" w:rsidP="00C45CB5">
      <w:pPr>
        <w:ind w:firstLine="360"/>
        <w:jc w:val="both"/>
        <w:rPr>
          <w:rFonts w:ascii="Arial" w:hAnsi="Arial" w:cs="Arial"/>
        </w:rPr>
      </w:pPr>
      <w:r>
        <w:rPr>
          <w:rFonts w:ascii="Arial" w:hAnsi="Arial" w:cs="Arial"/>
        </w:rPr>
        <w:t>Varian Mercury Plus</w:t>
      </w:r>
      <w:r w:rsidRPr="00AB25C0">
        <w:rPr>
          <w:rFonts w:ascii="Arial" w:hAnsi="Arial" w:cs="Arial"/>
        </w:rPr>
        <w:t xml:space="preserve"> </w:t>
      </w:r>
      <w:r w:rsidRPr="00AB25C0">
        <w:rPr>
          <w:rFonts w:ascii="Arial" w:hAnsi="Arial" w:cs="Arial"/>
          <w:color w:val="000000"/>
        </w:rPr>
        <w:t>400</w:t>
      </w:r>
      <w:r>
        <w:rPr>
          <w:rFonts w:ascii="Arial" w:hAnsi="Arial" w:cs="Arial"/>
          <w:color w:val="000000"/>
        </w:rPr>
        <w:t xml:space="preserve"> MHz NMR spectrometer, Varian Inova</w:t>
      </w:r>
      <w:r w:rsidRPr="00AB25C0">
        <w:rPr>
          <w:rFonts w:ascii="Arial" w:hAnsi="Arial" w:cs="Arial"/>
          <w:color w:val="000000"/>
        </w:rPr>
        <w:t xml:space="preserve"> 500 MHz</w:t>
      </w:r>
      <w:r w:rsidRPr="00AB25C0">
        <w:rPr>
          <w:rFonts w:ascii="Arial" w:hAnsi="Arial" w:cs="Arial"/>
          <w:color w:val="FF0000"/>
        </w:rPr>
        <w:t xml:space="preserve"> </w:t>
      </w:r>
      <w:r>
        <w:rPr>
          <w:rFonts w:ascii="Arial" w:hAnsi="Arial" w:cs="Arial"/>
        </w:rPr>
        <w:t>NMR spectrometer, Bruker 400 MHz NMR spectrometer</w:t>
      </w:r>
      <w:r w:rsidRPr="00AB25C0">
        <w:rPr>
          <w:rFonts w:ascii="Arial" w:hAnsi="Arial" w:cs="Arial"/>
        </w:rPr>
        <w:t xml:space="preserve">, </w:t>
      </w:r>
      <w:r>
        <w:rPr>
          <w:rFonts w:ascii="Arial" w:hAnsi="Arial" w:cs="Arial"/>
        </w:rPr>
        <w:t xml:space="preserve">Malvern PEAQ </w:t>
      </w:r>
      <w:r w:rsidRPr="00AB25C0">
        <w:rPr>
          <w:rFonts w:ascii="Arial" w:hAnsi="Arial" w:cs="Arial"/>
        </w:rPr>
        <w:t xml:space="preserve">isothermal calorimeter (ITC), </w:t>
      </w:r>
      <w:r w:rsidRPr="0090219B">
        <w:rPr>
          <w:rFonts w:ascii="Arial" w:hAnsi="Arial" w:cs="Arial"/>
        </w:rPr>
        <w:t>Liberty Blue Microwave Peptide Synthesizer</w:t>
      </w:r>
      <w:r w:rsidRPr="00AB25C0">
        <w:rPr>
          <w:rFonts w:ascii="Arial" w:hAnsi="Arial" w:cs="Arial"/>
        </w:rPr>
        <w:t xml:space="preserve">, </w:t>
      </w:r>
      <w:r>
        <w:rPr>
          <w:rFonts w:ascii="Arial" w:hAnsi="Arial" w:cs="Arial"/>
        </w:rPr>
        <w:t xml:space="preserve">Applied Biosystems Voyager DE-PRO </w:t>
      </w:r>
      <w:r w:rsidRPr="00AB25C0">
        <w:rPr>
          <w:rFonts w:ascii="Arial" w:hAnsi="Arial" w:cs="Arial"/>
        </w:rPr>
        <w:t xml:space="preserve">MALDI-TOF mass spectrometer, </w:t>
      </w:r>
      <w:proofErr w:type="spellStart"/>
      <w:r>
        <w:rPr>
          <w:rFonts w:ascii="Arial" w:hAnsi="Arial" w:cs="Arial"/>
        </w:rPr>
        <w:t>Thermofisher</w:t>
      </w:r>
      <w:proofErr w:type="spellEnd"/>
      <w:r>
        <w:rPr>
          <w:rFonts w:ascii="Arial" w:hAnsi="Arial" w:cs="Arial"/>
        </w:rPr>
        <w:t xml:space="preserve"> LTQXL linear ion trap</w:t>
      </w:r>
      <w:r w:rsidRPr="00AB25C0">
        <w:rPr>
          <w:rFonts w:ascii="Arial" w:hAnsi="Arial" w:cs="Arial"/>
        </w:rPr>
        <w:t xml:space="preserve"> mass spectrometer</w:t>
      </w:r>
      <w:r>
        <w:rPr>
          <w:rFonts w:ascii="Arial" w:hAnsi="Arial" w:cs="Arial"/>
        </w:rPr>
        <w:t>,</w:t>
      </w:r>
      <w:r w:rsidRPr="0090219B">
        <w:rPr>
          <w:rFonts w:ascii="Arial" w:hAnsi="Arial" w:cs="Arial"/>
        </w:rPr>
        <w:t xml:space="preserve"> Jasco J-810 spectropolarimeter</w:t>
      </w:r>
      <w:r>
        <w:rPr>
          <w:rFonts w:ascii="Arial" w:hAnsi="Arial" w:cs="Arial"/>
        </w:rPr>
        <w:t xml:space="preserve"> </w:t>
      </w:r>
      <w:r w:rsidRPr="0090219B">
        <w:rPr>
          <w:rFonts w:ascii="Arial" w:hAnsi="Arial" w:cs="Arial"/>
        </w:rPr>
        <w:t>with temperature control unit</w:t>
      </w:r>
      <w:r>
        <w:rPr>
          <w:rFonts w:ascii="Arial" w:hAnsi="Arial" w:cs="Arial"/>
        </w:rPr>
        <w:t xml:space="preserve">, and Perkin Elmer </w:t>
      </w:r>
      <w:proofErr w:type="spellStart"/>
      <w:r>
        <w:rPr>
          <w:rFonts w:ascii="Arial" w:hAnsi="Arial" w:cs="Arial"/>
        </w:rPr>
        <w:t>Turbomass</w:t>
      </w:r>
      <w:proofErr w:type="spellEnd"/>
      <w:r>
        <w:rPr>
          <w:rFonts w:ascii="Arial" w:hAnsi="Arial" w:cs="Arial"/>
        </w:rPr>
        <w:t xml:space="preserve"> GC-MS</w:t>
      </w:r>
      <w:r w:rsidRPr="00AB25C0">
        <w:rPr>
          <w:rFonts w:ascii="Arial" w:hAnsi="Arial" w:cs="Arial"/>
        </w:rPr>
        <w:t>.</w:t>
      </w:r>
    </w:p>
    <w:p w14:paraId="1A2865A0" w14:textId="7369BCC4" w:rsidR="00086AB8" w:rsidRDefault="00086AB8">
      <w:pPr>
        <w:spacing w:after="0" w:line="240" w:lineRule="auto"/>
        <w:jc w:val="both"/>
        <w:rPr>
          <w:rFonts w:ascii="Arial" w:eastAsia="Arial" w:hAnsi="Arial" w:cs="Arial"/>
          <w:b/>
          <w:sz w:val="24"/>
          <w:szCs w:val="24"/>
          <w:u w:val="single"/>
        </w:rPr>
      </w:pPr>
    </w:p>
    <w:p w14:paraId="3A7B9707" w14:textId="325DA9B5" w:rsidR="00E457D9" w:rsidRDefault="00E457D9">
      <w:pPr>
        <w:spacing w:after="0" w:line="240" w:lineRule="auto"/>
        <w:jc w:val="both"/>
        <w:rPr>
          <w:rFonts w:ascii="Arial" w:eastAsia="Arial" w:hAnsi="Arial" w:cs="Arial"/>
          <w:b/>
          <w:sz w:val="24"/>
          <w:szCs w:val="24"/>
          <w:u w:val="single"/>
        </w:rPr>
      </w:pPr>
    </w:p>
    <w:p w14:paraId="4E444724" w14:textId="77777777" w:rsidR="00E457D9" w:rsidRDefault="00E457D9">
      <w:pPr>
        <w:spacing w:after="0" w:line="240" w:lineRule="auto"/>
        <w:jc w:val="both"/>
        <w:rPr>
          <w:rFonts w:ascii="Arial" w:eastAsia="Arial" w:hAnsi="Arial" w:cs="Arial"/>
          <w:b/>
          <w:sz w:val="24"/>
          <w:szCs w:val="24"/>
          <w:u w:val="single"/>
        </w:rPr>
      </w:pPr>
    </w:p>
    <w:p w14:paraId="117006BE" w14:textId="3667B06A" w:rsidR="001D656F" w:rsidRDefault="001D656F">
      <w:pPr>
        <w:spacing w:after="0" w:line="240" w:lineRule="auto"/>
        <w:jc w:val="both"/>
        <w:rPr>
          <w:rFonts w:ascii="Arial" w:eastAsia="Arial" w:hAnsi="Arial" w:cs="Arial"/>
          <w:b/>
          <w:sz w:val="24"/>
          <w:szCs w:val="24"/>
          <w:u w:val="single"/>
        </w:rPr>
      </w:pPr>
      <w:r>
        <w:rPr>
          <w:rFonts w:ascii="Arial" w:eastAsia="Arial" w:hAnsi="Arial" w:cs="Arial"/>
          <w:b/>
          <w:sz w:val="24"/>
          <w:szCs w:val="24"/>
          <w:u w:val="single"/>
        </w:rPr>
        <w:t>Other Partner Cores, Equipment and Services</w:t>
      </w:r>
    </w:p>
    <w:p w14:paraId="6022F15D" w14:textId="77777777" w:rsidR="001D656F" w:rsidRDefault="001D656F" w:rsidP="001D656F">
      <w:pPr>
        <w:autoSpaceDE w:val="0"/>
        <w:autoSpaceDN w:val="0"/>
        <w:adjustRightInd w:val="0"/>
        <w:rPr>
          <w:rFonts w:ascii="Arial" w:hAnsi="Arial" w:cs="Arial"/>
          <w:b/>
          <w:bCs/>
          <w:i/>
          <w:caps/>
        </w:rPr>
      </w:pPr>
    </w:p>
    <w:p w14:paraId="3A60FE45" w14:textId="6787063C"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rPr>
        <w:t xml:space="preserve">Scripps Florida Core Equipment. </w:t>
      </w:r>
      <w:r>
        <w:rPr>
          <w:rStyle w:val="normaltextrun"/>
          <w:rFonts w:ascii="Arial" w:hAnsi="Arial" w:cs="Arial"/>
          <w:color w:val="000000"/>
          <w:sz w:val="22"/>
          <w:szCs w:val="22"/>
        </w:rPr>
        <w:t>Through a reciprocity agreement, FAU faculty and trainees have access to the specialized core facilities at the Scripps Florida located on the FAU Jupiter campus. These include the following core facilities:</w:t>
      </w:r>
      <w:r>
        <w:rPr>
          <w:rStyle w:val="eop"/>
          <w:rFonts w:ascii="Arial" w:hAnsi="Arial" w:cs="Arial"/>
          <w:color w:val="000000"/>
          <w:sz w:val="22"/>
          <w:szCs w:val="22"/>
        </w:rPr>
        <w:t> </w:t>
      </w:r>
    </w:p>
    <w:p w14:paraId="36077EB3"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58946681"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u w:val="single"/>
        </w:rPr>
        <w:t>Flow Cytometry Core:</w:t>
      </w:r>
      <w:r>
        <w:rPr>
          <w:rStyle w:val="normaltextrun"/>
          <w:rFonts w:ascii="Arial" w:hAnsi="Arial" w:cs="Arial"/>
          <w:color w:val="000000"/>
          <w:sz w:val="22"/>
          <w:szCs w:val="22"/>
        </w:rPr>
        <w:t xml:space="preserve">  Instrumentation includes: BD FACSAria3, BD </w:t>
      </w:r>
      <w:proofErr w:type="spellStart"/>
      <w:r>
        <w:rPr>
          <w:rStyle w:val="normaltextrun"/>
          <w:rFonts w:ascii="Arial" w:hAnsi="Arial" w:cs="Arial"/>
          <w:color w:val="000000"/>
          <w:sz w:val="22"/>
          <w:szCs w:val="22"/>
        </w:rPr>
        <w:t>FACSAria</w:t>
      </w:r>
      <w:proofErr w:type="spellEnd"/>
      <w:r>
        <w:rPr>
          <w:rStyle w:val="normaltextrun"/>
          <w:rFonts w:ascii="Arial" w:hAnsi="Arial" w:cs="Arial"/>
          <w:color w:val="000000"/>
          <w:sz w:val="22"/>
          <w:szCs w:val="22"/>
        </w:rPr>
        <w:t xml:space="preserve"> Fusion, BD LSR2, Beckman Coulter </w:t>
      </w:r>
      <w:proofErr w:type="spellStart"/>
      <w:r>
        <w:rPr>
          <w:rStyle w:val="normaltextrun"/>
          <w:rFonts w:ascii="Arial" w:hAnsi="Arial" w:cs="Arial"/>
          <w:color w:val="000000"/>
          <w:sz w:val="22"/>
          <w:szCs w:val="22"/>
        </w:rPr>
        <w:t>Gallios</w:t>
      </w:r>
      <w:proofErr w:type="spellEnd"/>
      <w:r>
        <w:rPr>
          <w:rStyle w:val="normaltextrun"/>
          <w:rFonts w:ascii="Arial" w:hAnsi="Arial" w:cs="Arial"/>
          <w:color w:val="000000"/>
          <w:sz w:val="22"/>
          <w:szCs w:val="22"/>
        </w:rPr>
        <w:t xml:space="preserve">, BD Canto, LCM microscope, </w:t>
      </w:r>
      <w:proofErr w:type="spellStart"/>
      <w:r>
        <w:rPr>
          <w:rStyle w:val="normaltextrun"/>
          <w:rFonts w:ascii="Arial" w:hAnsi="Arial" w:cs="Arial"/>
          <w:color w:val="000000"/>
          <w:sz w:val="22"/>
          <w:szCs w:val="22"/>
        </w:rPr>
        <w:t>Hemavet</w:t>
      </w:r>
      <w:proofErr w:type="spellEnd"/>
      <w:r>
        <w:rPr>
          <w:rStyle w:val="normaltextrun"/>
          <w:rFonts w:ascii="Arial" w:hAnsi="Arial" w:cs="Arial"/>
          <w:color w:val="000000"/>
          <w:sz w:val="22"/>
          <w:szCs w:val="22"/>
        </w:rPr>
        <w:t xml:space="preserve"> 950FS, BD 12x75mm tube with cell strainer cap, and LEICA LMD 7000.  </w:t>
      </w:r>
      <w:r>
        <w:rPr>
          <w:rStyle w:val="eop"/>
          <w:rFonts w:ascii="Arial" w:hAnsi="Arial" w:cs="Arial"/>
          <w:color w:val="000000"/>
          <w:sz w:val="22"/>
          <w:szCs w:val="22"/>
        </w:rPr>
        <w:t> </w:t>
      </w:r>
    </w:p>
    <w:p w14:paraId="502D35A9"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71706337"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u w:val="single"/>
        </w:rPr>
        <w:t>Genomics Core:</w:t>
      </w:r>
      <w:r>
        <w:rPr>
          <w:rStyle w:val="normaltextrun"/>
          <w:rFonts w:ascii="Arial" w:hAnsi="Arial" w:cs="Arial"/>
          <w:color w:val="000000"/>
          <w:sz w:val="22"/>
          <w:szCs w:val="22"/>
        </w:rPr>
        <w:t xml:space="preserve"> Tools include: Illumina NextSeq500, ABI SOLID5500 and EZ Bead system, Ion Torrent Personal Genome Machine, Ion Torrent Proton, Affymetrix </w:t>
      </w:r>
      <w:proofErr w:type="spellStart"/>
      <w:r>
        <w:rPr>
          <w:rStyle w:val="normaltextrun"/>
          <w:rFonts w:ascii="Arial" w:hAnsi="Arial" w:cs="Arial"/>
          <w:color w:val="000000"/>
          <w:sz w:val="22"/>
          <w:szCs w:val="22"/>
        </w:rPr>
        <w:t>GeneChip</w:t>
      </w:r>
      <w:proofErr w:type="spellEnd"/>
      <w:r>
        <w:rPr>
          <w:rStyle w:val="normaltextrun"/>
          <w:rFonts w:ascii="Arial" w:hAnsi="Arial" w:cs="Arial"/>
          <w:color w:val="000000"/>
          <w:sz w:val="22"/>
          <w:szCs w:val="22"/>
        </w:rPr>
        <w:t xml:space="preserve"> System, Quantitative RT-PCR:  a Roche Light Cycler 480 instrument and an Applied Biosystems </w:t>
      </w:r>
      <w:proofErr w:type="gramStart"/>
      <w:r>
        <w:rPr>
          <w:rStyle w:val="normaltextrun"/>
          <w:rFonts w:ascii="Arial" w:hAnsi="Arial" w:cs="Arial"/>
          <w:color w:val="000000"/>
          <w:sz w:val="22"/>
          <w:szCs w:val="22"/>
        </w:rPr>
        <w:t>A</w:t>
      </w:r>
      <w:proofErr w:type="gramEnd"/>
      <w:r>
        <w:rPr>
          <w:rStyle w:val="normaltextrun"/>
          <w:rFonts w:ascii="Arial" w:hAnsi="Arial" w:cs="Arial"/>
          <w:color w:val="000000"/>
          <w:sz w:val="22"/>
          <w:szCs w:val="22"/>
        </w:rPr>
        <w:t xml:space="preserve"> Step One Plus instrument, Agilent 2100 Bioanalyzer and </w:t>
      </w:r>
      <w:proofErr w:type="spellStart"/>
      <w:r>
        <w:rPr>
          <w:rStyle w:val="normaltextrun"/>
          <w:rFonts w:ascii="Arial" w:hAnsi="Arial" w:cs="Arial"/>
          <w:color w:val="000000"/>
          <w:sz w:val="22"/>
          <w:szCs w:val="22"/>
        </w:rPr>
        <w:t>Tapestation</w:t>
      </w:r>
      <w:proofErr w:type="spellEnd"/>
      <w:r>
        <w:rPr>
          <w:rStyle w:val="normaltextrun"/>
          <w:rFonts w:ascii="Arial" w:hAnsi="Arial" w:cs="Arial"/>
          <w:color w:val="000000"/>
          <w:sz w:val="22"/>
          <w:szCs w:val="22"/>
        </w:rPr>
        <w:t xml:space="preserve"> 2200, and a Hamilton </w:t>
      </w:r>
      <w:proofErr w:type="spellStart"/>
      <w:r>
        <w:rPr>
          <w:rStyle w:val="normaltextrun"/>
          <w:rFonts w:ascii="Arial" w:hAnsi="Arial" w:cs="Arial"/>
          <w:color w:val="000000"/>
          <w:sz w:val="22"/>
          <w:szCs w:val="22"/>
        </w:rPr>
        <w:t>Microlab</w:t>
      </w:r>
      <w:proofErr w:type="spellEnd"/>
      <w:r>
        <w:rPr>
          <w:rStyle w:val="normaltextrun"/>
          <w:rFonts w:ascii="Arial" w:hAnsi="Arial" w:cs="Arial"/>
          <w:color w:val="000000"/>
          <w:sz w:val="22"/>
          <w:szCs w:val="22"/>
        </w:rPr>
        <w:t xml:space="preserve"> </w:t>
      </w:r>
      <w:proofErr w:type="spellStart"/>
      <w:r>
        <w:rPr>
          <w:rStyle w:val="normaltextrun"/>
          <w:rFonts w:ascii="Arial" w:hAnsi="Arial" w:cs="Arial"/>
          <w:color w:val="000000"/>
          <w:sz w:val="22"/>
          <w:szCs w:val="22"/>
        </w:rPr>
        <w:t>STARlet</w:t>
      </w:r>
      <w:proofErr w:type="spellEnd"/>
      <w:r>
        <w:rPr>
          <w:rStyle w:val="normaltextrun"/>
          <w:rFonts w:ascii="Arial" w:hAnsi="Arial" w:cs="Arial"/>
          <w:color w:val="000000"/>
          <w:sz w:val="22"/>
          <w:szCs w:val="22"/>
        </w:rPr>
        <w:t xml:space="preserve"> Robotic Liquid Handler Unit.  </w:t>
      </w:r>
      <w:r>
        <w:rPr>
          <w:rStyle w:val="eop"/>
          <w:rFonts w:ascii="Arial" w:hAnsi="Arial" w:cs="Arial"/>
          <w:color w:val="000000"/>
          <w:sz w:val="22"/>
          <w:szCs w:val="22"/>
        </w:rPr>
        <w:t> </w:t>
      </w:r>
    </w:p>
    <w:p w14:paraId="7F9B387A"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00D29823"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u w:val="single"/>
        </w:rPr>
        <w:t>High-Throughput Screening:</w:t>
      </w:r>
      <w:r>
        <w:rPr>
          <w:rStyle w:val="normaltextrun"/>
          <w:rFonts w:ascii="Arial" w:hAnsi="Arial" w:cs="Arial"/>
          <w:color w:val="000000"/>
          <w:sz w:val="22"/>
          <w:szCs w:val="22"/>
        </w:rPr>
        <w:t xml:space="preserve"> This center includes a dedicated Agilent 1200 series LCMS with multimode mass spectrometry (ES, APCI, ELSD) dedicated for quality control of incoming HTS compound libraries and hit confirmation efforts. </w:t>
      </w:r>
      <w:r>
        <w:rPr>
          <w:rStyle w:val="normaltextrun"/>
          <w:rFonts w:ascii="Arial" w:hAnsi="Arial" w:cs="Arial"/>
          <w:color w:val="000000"/>
          <w:sz w:val="22"/>
          <w:szCs w:val="22"/>
          <w:u w:val="single"/>
        </w:rPr>
        <w:t>Microbiology</w:t>
      </w:r>
      <w:r>
        <w:rPr>
          <w:rStyle w:val="normaltextrun"/>
          <w:rFonts w:ascii="Arial" w:hAnsi="Arial" w:cs="Arial"/>
          <w:color w:val="000000"/>
          <w:sz w:val="22"/>
          <w:szCs w:val="22"/>
        </w:rPr>
        <w:t xml:space="preserve">:  This lab is equipped with Class II hoods, refrigerators and freezer storage, bulk reagent dispensing, microplate reading and is even capable of HTS screening BSL-2 organisms in 1536-well microplates. For molecular research PCR machines and post-PCR equipment is available allowing for cloning and expression work to be done. For large scale protein purification there is an </w:t>
      </w:r>
      <w:proofErr w:type="spellStart"/>
      <w:r>
        <w:rPr>
          <w:rStyle w:val="normaltextrun"/>
          <w:rFonts w:ascii="Arial" w:hAnsi="Arial" w:cs="Arial"/>
          <w:color w:val="000000"/>
          <w:sz w:val="22"/>
          <w:szCs w:val="22"/>
        </w:rPr>
        <w:t>Akta</w:t>
      </w:r>
      <w:proofErr w:type="spellEnd"/>
      <w:r>
        <w:rPr>
          <w:rStyle w:val="normaltextrun"/>
          <w:rFonts w:ascii="Arial" w:hAnsi="Arial" w:cs="Arial"/>
          <w:color w:val="000000"/>
          <w:sz w:val="22"/>
          <w:szCs w:val="22"/>
        </w:rPr>
        <w:t xml:space="preserve"> FPLC installed inside a double glass door refrigerator. Time kill and bacteria kinetic assays are facilitated by Spiral Biotech spiral platers and </w:t>
      </w:r>
      <w:proofErr w:type="spellStart"/>
      <w:r>
        <w:rPr>
          <w:rStyle w:val="normaltextrun"/>
          <w:rFonts w:ascii="Arial" w:hAnsi="Arial" w:cs="Arial"/>
          <w:color w:val="000000"/>
          <w:sz w:val="22"/>
          <w:szCs w:val="22"/>
        </w:rPr>
        <w:t>Qcount</w:t>
      </w:r>
      <w:proofErr w:type="spellEnd"/>
      <w:r>
        <w:rPr>
          <w:rStyle w:val="normaltextrun"/>
          <w:rFonts w:ascii="Arial" w:hAnsi="Arial" w:cs="Arial"/>
          <w:color w:val="000000"/>
          <w:sz w:val="22"/>
          <w:szCs w:val="22"/>
        </w:rPr>
        <w:t xml:space="preserve"> imaging colony counters. We have cutting edge imaging apparatus to allow visual inspection of membrane active compounds and have implemented one of the most advanced and sensitive methods for the early detection of anti-proliferative effects by inhibitors. </w:t>
      </w:r>
      <w:r>
        <w:rPr>
          <w:rStyle w:val="eop"/>
          <w:rFonts w:ascii="Arial" w:hAnsi="Arial" w:cs="Arial"/>
          <w:color w:val="000000"/>
          <w:sz w:val="22"/>
          <w:szCs w:val="22"/>
        </w:rPr>
        <w:t> </w:t>
      </w:r>
    </w:p>
    <w:p w14:paraId="2A2314EA"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1EE61034"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u w:val="single"/>
        </w:rPr>
        <w:t>High Performance Computing:</w:t>
      </w:r>
      <w:r>
        <w:rPr>
          <w:rStyle w:val="normaltextrun"/>
          <w:rFonts w:ascii="Arial" w:hAnsi="Arial" w:cs="Arial"/>
          <w:color w:val="000000"/>
          <w:sz w:val="22"/>
          <w:szCs w:val="22"/>
        </w:rPr>
        <w:t>  The primary HPC cluster, named “</w:t>
      </w:r>
      <w:proofErr w:type="spellStart"/>
      <w:r>
        <w:rPr>
          <w:rStyle w:val="normaltextrun"/>
          <w:rFonts w:ascii="Arial" w:hAnsi="Arial" w:cs="Arial"/>
          <w:color w:val="000000"/>
          <w:sz w:val="22"/>
          <w:szCs w:val="22"/>
        </w:rPr>
        <w:t>Sepa</w:t>
      </w:r>
      <w:proofErr w:type="spellEnd"/>
      <w:r>
        <w:rPr>
          <w:rStyle w:val="normaltextrun"/>
          <w:rFonts w:ascii="Arial" w:hAnsi="Arial" w:cs="Arial"/>
          <w:color w:val="000000"/>
          <w:sz w:val="22"/>
          <w:szCs w:val="22"/>
        </w:rPr>
        <w:t xml:space="preserve">,” currently consists of more than 456 processors and 456 GB of distributed memory. The system uses a distributed batch queuing system called “Sun Grid Engine.” This software provides researchers with simple ways to submit complex jobs to the compute cluster.  In addition to the HPC cluster, there are also several small-scale SMP machines for memory-intensive tasks. Also, two large dedicated SMP machines are available. These machines each have 128 GB of RAM and 32 cores, making them ideal for large computational tasks that cannot be run on the HPC cluster.  Connections of up to 10 Gb/s to peer research institutions are possible over the National </w:t>
      </w:r>
      <w:proofErr w:type="spellStart"/>
      <w:r>
        <w:rPr>
          <w:rStyle w:val="normaltextrun"/>
          <w:rFonts w:ascii="Arial" w:hAnsi="Arial" w:cs="Arial"/>
          <w:color w:val="000000"/>
          <w:sz w:val="22"/>
          <w:szCs w:val="22"/>
        </w:rPr>
        <w:t>LambdaRail</w:t>
      </w:r>
      <w:proofErr w:type="spellEnd"/>
      <w:r>
        <w:rPr>
          <w:rStyle w:val="normaltextrun"/>
          <w:rFonts w:ascii="Arial" w:hAnsi="Arial" w:cs="Arial"/>
          <w:color w:val="000000"/>
          <w:sz w:val="22"/>
          <w:szCs w:val="22"/>
        </w:rPr>
        <w:t xml:space="preserve"> and Internet2 research networks.  Scripps Florida also maintains a large-scale tape backup and disk archival system. The system is capable of scaling to provide up to 2.4 petabytes of uncompressed capacity.  </w:t>
      </w:r>
      <w:r>
        <w:rPr>
          <w:rStyle w:val="eop"/>
          <w:rFonts w:ascii="Arial" w:hAnsi="Arial" w:cs="Arial"/>
          <w:color w:val="000000"/>
          <w:sz w:val="22"/>
          <w:szCs w:val="22"/>
        </w:rPr>
        <w:t> </w:t>
      </w:r>
    </w:p>
    <w:p w14:paraId="7B086CE5"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0D469920"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u w:val="single"/>
        </w:rPr>
        <w:t>Histology:</w:t>
      </w:r>
      <w:r>
        <w:rPr>
          <w:rStyle w:val="normaltextrun"/>
          <w:rFonts w:ascii="Arial" w:hAnsi="Arial" w:cs="Arial"/>
          <w:color w:val="000000"/>
          <w:sz w:val="22"/>
          <w:szCs w:val="22"/>
        </w:rPr>
        <w:t xml:space="preserve">  The Scripps Florida Histology Core (SFHC) is equipped with the appropriate ventilated working areas and equipment to prepare, process and stain frozen or paraffin embedded specimens.  The Histology Core contains the following instrumentation: VIP Tissue Processor, BIOCARE </w:t>
      </w:r>
      <w:proofErr w:type="spellStart"/>
      <w:r>
        <w:rPr>
          <w:rStyle w:val="normaltextrun"/>
          <w:rFonts w:ascii="Arial" w:hAnsi="Arial" w:cs="Arial"/>
          <w:color w:val="000000"/>
          <w:sz w:val="22"/>
          <w:szCs w:val="22"/>
        </w:rPr>
        <w:t>NxGen</w:t>
      </w:r>
      <w:proofErr w:type="spellEnd"/>
      <w:r>
        <w:rPr>
          <w:rStyle w:val="normaltextrun"/>
          <w:rFonts w:ascii="Arial" w:hAnsi="Arial" w:cs="Arial"/>
          <w:color w:val="000000"/>
          <w:sz w:val="22"/>
          <w:szCs w:val="22"/>
        </w:rPr>
        <w:t xml:space="preserve"> Decloaking Chamber, Rotary Microtome, Staining Center, Leica Cryostat, and Zeiss </w:t>
      </w:r>
      <w:proofErr w:type="spellStart"/>
      <w:r>
        <w:rPr>
          <w:rStyle w:val="normaltextrun"/>
          <w:rFonts w:ascii="Arial" w:hAnsi="Arial" w:cs="Arial"/>
          <w:color w:val="000000"/>
          <w:sz w:val="22"/>
          <w:szCs w:val="22"/>
        </w:rPr>
        <w:t>Axio</w:t>
      </w:r>
      <w:proofErr w:type="spellEnd"/>
      <w:r>
        <w:rPr>
          <w:rStyle w:val="normaltextrun"/>
          <w:rFonts w:ascii="Arial" w:hAnsi="Arial" w:cs="Arial"/>
          <w:color w:val="000000"/>
          <w:sz w:val="22"/>
          <w:szCs w:val="22"/>
        </w:rPr>
        <w:t xml:space="preserve"> Microscope/Camera Software.</w:t>
      </w:r>
      <w:r>
        <w:rPr>
          <w:rStyle w:val="eop"/>
          <w:rFonts w:ascii="Arial" w:hAnsi="Arial" w:cs="Arial"/>
          <w:color w:val="000000"/>
          <w:sz w:val="22"/>
          <w:szCs w:val="22"/>
        </w:rPr>
        <w:t> </w:t>
      </w:r>
    </w:p>
    <w:p w14:paraId="686D0929"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3A054E00"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u w:val="single"/>
        </w:rPr>
        <w:t>Metabolic Core:</w:t>
      </w:r>
      <w:r>
        <w:rPr>
          <w:rStyle w:val="normaltextrun"/>
          <w:rFonts w:ascii="Arial" w:hAnsi="Arial" w:cs="Arial"/>
          <w:color w:val="000000"/>
          <w:sz w:val="22"/>
          <w:szCs w:val="22"/>
        </w:rPr>
        <w:t xml:space="preserve">  The metabolic core includes: CLAMS units, </w:t>
      </w:r>
      <w:proofErr w:type="spellStart"/>
      <w:r>
        <w:rPr>
          <w:rStyle w:val="normaltextrun"/>
          <w:rFonts w:ascii="Arial" w:hAnsi="Arial" w:cs="Arial"/>
          <w:color w:val="000000"/>
          <w:sz w:val="22"/>
          <w:szCs w:val="22"/>
        </w:rPr>
        <w:t>Minispec</w:t>
      </w:r>
      <w:proofErr w:type="spellEnd"/>
      <w:r>
        <w:rPr>
          <w:rStyle w:val="normaltextrun"/>
          <w:rFonts w:ascii="Arial" w:hAnsi="Arial" w:cs="Arial"/>
          <w:color w:val="000000"/>
          <w:sz w:val="22"/>
          <w:szCs w:val="22"/>
        </w:rPr>
        <w:t xml:space="preserve"> LF-50/</w:t>
      </w:r>
      <w:proofErr w:type="spellStart"/>
      <w:r>
        <w:rPr>
          <w:rStyle w:val="normaltextrun"/>
          <w:rFonts w:ascii="Arial" w:hAnsi="Arial" w:cs="Arial"/>
          <w:color w:val="000000"/>
          <w:sz w:val="22"/>
          <w:szCs w:val="22"/>
        </w:rPr>
        <w:t>mq</w:t>
      </w:r>
      <w:proofErr w:type="spellEnd"/>
      <w:r>
        <w:rPr>
          <w:rStyle w:val="normaltextrun"/>
          <w:rFonts w:ascii="Arial" w:hAnsi="Arial" w:cs="Arial"/>
          <w:color w:val="000000"/>
          <w:sz w:val="22"/>
          <w:szCs w:val="22"/>
        </w:rPr>
        <w:t xml:space="preserve"> 7.5 NMR (Brucker Optics) analyzer, </w:t>
      </w:r>
      <w:proofErr w:type="spellStart"/>
      <w:r>
        <w:rPr>
          <w:rStyle w:val="normaltextrun"/>
          <w:rFonts w:ascii="Arial" w:hAnsi="Arial" w:cs="Arial"/>
          <w:color w:val="000000"/>
          <w:sz w:val="22"/>
          <w:szCs w:val="22"/>
        </w:rPr>
        <w:t>BioDAQ</w:t>
      </w:r>
      <w:proofErr w:type="spellEnd"/>
      <w:r>
        <w:rPr>
          <w:rStyle w:val="normaltextrun"/>
          <w:rFonts w:ascii="Arial" w:hAnsi="Arial" w:cs="Arial"/>
          <w:color w:val="000000"/>
          <w:sz w:val="22"/>
          <w:szCs w:val="22"/>
        </w:rPr>
        <w:t xml:space="preserve"> system (Research Diets), Metabolic Cages (</w:t>
      </w:r>
      <w:proofErr w:type="spellStart"/>
      <w:r>
        <w:rPr>
          <w:rStyle w:val="normaltextrun"/>
          <w:rFonts w:ascii="Arial" w:hAnsi="Arial" w:cs="Arial"/>
          <w:color w:val="000000"/>
          <w:sz w:val="22"/>
          <w:szCs w:val="22"/>
        </w:rPr>
        <w:t>Tecniplast</w:t>
      </w:r>
      <w:proofErr w:type="spellEnd"/>
      <w:r>
        <w:rPr>
          <w:rStyle w:val="normaltextrun"/>
          <w:rFonts w:ascii="Arial" w:hAnsi="Arial" w:cs="Arial"/>
          <w:color w:val="000000"/>
          <w:sz w:val="22"/>
          <w:szCs w:val="22"/>
        </w:rPr>
        <w:t>), DSI Telemetry Systems (Data Sciences International), MC4000 blood pressure and heart rate analyzer for mice (</w:t>
      </w:r>
      <w:proofErr w:type="spellStart"/>
      <w:r>
        <w:rPr>
          <w:rStyle w:val="normaltextrun"/>
          <w:rFonts w:ascii="Arial" w:hAnsi="Arial" w:cs="Arial"/>
          <w:color w:val="000000"/>
          <w:sz w:val="22"/>
          <w:szCs w:val="22"/>
        </w:rPr>
        <w:t>Tailcuff</w:t>
      </w:r>
      <w:proofErr w:type="spellEnd"/>
      <w:r>
        <w:rPr>
          <w:rStyle w:val="normaltextrun"/>
          <w:rFonts w:ascii="Arial" w:hAnsi="Arial" w:cs="Arial"/>
          <w:color w:val="000000"/>
          <w:sz w:val="22"/>
          <w:szCs w:val="22"/>
        </w:rPr>
        <w:t xml:space="preserve"> method, Hatteras Instruments), Mouse Ox Plus Vital signs monitor (Starr Life Sciences).  </w:t>
      </w:r>
      <w:r>
        <w:rPr>
          <w:rStyle w:val="normaltextrun"/>
          <w:rFonts w:ascii="Arial" w:hAnsi="Arial" w:cs="Arial"/>
          <w:color w:val="000000"/>
          <w:sz w:val="22"/>
          <w:szCs w:val="22"/>
          <w:u w:val="single"/>
        </w:rPr>
        <w:t>Laboratory Tests and Instrumentation</w:t>
      </w:r>
      <w:r>
        <w:rPr>
          <w:rStyle w:val="normaltextrun"/>
          <w:rFonts w:ascii="Arial" w:hAnsi="Arial" w:cs="Arial"/>
          <w:color w:val="000000"/>
          <w:sz w:val="22"/>
          <w:szCs w:val="22"/>
        </w:rPr>
        <w:t>:  The Cobas c311 clinical chemistry analyzer (Roche Diagnostics), a GM7 analyzer (</w:t>
      </w:r>
      <w:proofErr w:type="spellStart"/>
      <w:r>
        <w:rPr>
          <w:rStyle w:val="normaltextrun"/>
          <w:rFonts w:ascii="Arial" w:hAnsi="Arial" w:cs="Arial"/>
          <w:color w:val="000000"/>
          <w:sz w:val="22"/>
          <w:szCs w:val="22"/>
        </w:rPr>
        <w:t>Analox</w:t>
      </w:r>
      <w:proofErr w:type="spellEnd"/>
      <w:r>
        <w:rPr>
          <w:rStyle w:val="normaltextrun"/>
          <w:rFonts w:ascii="Arial" w:hAnsi="Arial" w:cs="Arial"/>
          <w:color w:val="000000"/>
          <w:sz w:val="22"/>
          <w:szCs w:val="22"/>
        </w:rPr>
        <w:t xml:space="preserve"> instruments), a Luminex 200 (Luminex </w:t>
      </w:r>
      <w:proofErr w:type="spellStart"/>
      <w:r>
        <w:rPr>
          <w:rStyle w:val="normaltextrun"/>
          <w:rFonts w:ascii="Arial" w:hAnsi="Arial" w:cs="Arial"/>
          <w:color w:val="000000"/>
          <w:sz w:val="22"/>
          <w:szCs w:val="22"/>
        </w:rPr>
        <w:t>Coorporation</w:t>
      </w:r>
      <w:proofErr w:type="spellEnd"/>
      <w:r>
        <w:rPr>
          <w:rStyle w:val="normaltextrun"/>
          <w:rFonts w:ascii="Arial" w:hAnsi="Arial" w:cs="Arial"/>
          <w:color w:val="000000"/>
          <w:sz w:val="22"/>
          <w:szCs w:val="22"/>
        </w:rPr>
        <w:t>), 24 and 96-wells Sea Horse analyzers (</w:t>
      </w:r>
      <w:proofErr w:type="spellStart"/>
      <w:r>
        <w:rPr>
          <w:rStyle w:val="normaltextrun"/>
          <w:rFonts w:ascii="Arial" w:hAnsi="Arial" w:cs="Arial"/>
          <w:color w:val="000000"/>
          <w:sz w:val="22"/>
          <w:szCs w:val="22"/>
        </w:rPr>
        <w:t>SeaHorse</w:t>
      </w:r>
      <w:proofErr w:type="spellEnd"/>
      <w:r>
        <w:rPr>
          <w:rStyle w:val="normaltextrun"/>
          <w:rFonts w:ascii="Arial" w:hAnsi="Arial" w:cs="Arial"/>
          <w:color w:val="000000"/>
          <w:sz w:val="22"/>
          <w:szCs w:val="22"/>
        </w:rPr>
        <w:t xml:space="preserve"> Biosciences), and an AR-2000 radio-TLC Imaging Scanner (Eckert &amp; Ziegler).</w:t>
      </w:r>
      <w:r>
        <w:rPr>
          <w:rStyle w:val="eop"/>
          <w:rFonts w:ascii="Arial" w:hAnsi="Arial" w:cs="Arial"/>
          <w:color w:val="000000"/>
          <w:sz w:val="22"/>
          <w:szCs w:val="22"/>
        </w:rPr>
        <w:t> </w:t>
      </w:r>
    </w:p>
    <w:p w14:paraId="788E233F"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7FEB3280"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u w:val="single"/>
        </w:rPr>
        <w:t>Nuclear Magnetic Resonance (NMR):</w:t>
      </w:r>
      <w:r>
        <w:rPr>
          <w:rStyle w:val="normaltextrun"/>
          <w:rFonts w:ascii="Arial" w:hAnsi="Arial" w:cs="Arial"/>
          <w:color w:val="000000"/>
          <w:sz w:val="22"/>
          <w:szCs w:val="22"/>
        </w:rPr>
        <w:t xml:space="preserve"> Instrumentation includes three Bruker nuclear magnetic resonance instruments, two </w:t>
      </w:r>
      <w:proofErr w:type="spellStart"/>
      <w:r>
        <w:rPr>
          <w:rStyle w:val="normaltextrun"/>
          <w:rFonts w:ascii="Arial" w:hAnsi="Arial" w:cs="Arial"/>
          <w:color w:val="000000"/>
          <w:sz w:val="22"/>
          <w:szCs w:val="22"/>
        </w:rPr>
        <w:t>Avance</w:t>
      </w:r>
      <w:proofErr w:type="spellEnd"/>
      <w:r>
        <w:rPr>
          <w:rStyle w:val="normaltextrun"/>
          <w:rFonts w:ascii="Arial" w:hAnsi="Arial" w:cs="Arial"/>
          <w:color w:val="000000"/>
          <w:sz w:val="22"/>
          <w:szCs w:val="22"/>
        </w:rPr>
        <w:t xml:space="preserve"> 400 MHz </w:t>
      </w:r>
      <w:proofErr w:type="spellStart"/>
      <w:r>
        <w:rPr>
          <w:rStyle w:val="normaltextrun"/>
          <w:rFonts w:ascii="Arial" w:hAnsi="Arial" w:cs="Arial"/>
          <w:color w:val="000000"/>
          <w:sz w:val="22"/>
          <w:szCs w:val="22"/>
        </w:rPr>
        <w:t>ULTRAShield</w:t>
      </w:r>
      <w:proofErr w:type="spellEnd"/>
      <w:r>
        <w:rPr>
          <w:rStyle w:val="normaltextrun"/>
          <w:rFonts w:ascii="Arial" w:hAnsi="Arial" w:cs="Arial"/>
          <w:color w:val="000000"/>
          <w:sz w:val="22"/>
          <w:szCs w:val="22"/>
        </w:rPr>
        <w:t xml:space="preserve"> instruments and one </w:t>
      </w:r>
      <w:proofErr w:type="spellStart"/>
      <w:r>
        <w:rPr>
          <w:rStyle w:val="normaltextrun"/>
          <w:rFonts w:ascii="Arial" w:hAnsi="Arial" w:cs="Arial"/>
          <w:color w:val="000000"/>
          <w:sz w:val="22"/>
          <w:szCs w:val="22"/>
        </w:rPr>
        <w:t>Avance</w:t>
      </w:r>
      <w:proofErr w:type="spellEnd"/>
      <w:r>
        <w:rPr>
          <w:rStyle w:val="normaltextrun"/>
          <w:rFonts w:ascii="Arial" w:hAnsi="Arial" w:cs="Arial"/>
          <w:color w:val="000000"/>
          <w:sz w:val="22"/>
          <w:szCs w:val="22"/>
        </w:rPr>
        <w:t xml:space="preserve"> III 700 MHz </w:t>
      </w:r>
      <w:proofErr w:type="spellStart"/>
      <w:r>
        <w:rPr>
          <w:rStyle w:val="normaltextrun"/>
          <w:rFonts w:ascii="Arial" w:hAnsi="Arial" w:cs="Arial"/>
          <w:color w:val="000000"/>
          <w:sz w:val="22"/>
          <w:szCs w:val="22"/>
        </w:rPr>
        <w:t>ULTRAShield</w:t>
      </w:r>
      <w:proofErr w:type="spellEnd"/>
      <w:r>
        <w:rPr>
          <w:rStyle w:val="normaltextrun"/>
          <w:rFonts w:ascii="Arial" w:hAnsi="Arial" w:cs="Arial"/>
          <w:color w:val="000000"/>
          <w:sz w:val="22"/>
          <w:szCs w:val="22"/>
        </w:rPr>
        <w:t xml:space="preserve"> instrument. The machines run 24 hours a day, 365 days of the year and are fully equipped to run multi-nuclear 1D and 2D experiments, with both direct and indirect detection for a variety of nuclei. </w:t>
      </w:r>
      <w:r>
        <w:rPr>
          <w:rStyle w:val="eop"/>
          <w:rFonts w:ascii="Arial" w:hAnsi="Arial" w:cs="Arial"/>
          <w:color w:val="000000"/>
          <w:sz w:val="22"/>
          <w:szCs w:val="22"/>
        </w:rPr>
        <w:t> </w:t>
      </w:r>
    </w:p>
    <w:p w14:paraId="7CFD5A33"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1E7A408E"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u w:val="single"/>
        </w:rPr>
        <w:lastRenderedPageBreak/>
        <w:t>Proteomics and Mass Spectrometry:</w:t>
      </w:r>
      <w:r>
        <w:rPr>
          <w:rStyle w:val="normaltextrun"/>
          <w:rFonts w:ascii="Arial" w:hAnsi="Arial" w:cs="Arial"/>
          <w:color w:val="000000"/>
          <w:sz w:val="22"/>
          <w:szCs w:val="22"/>
        </w:rPr>
        <w:t xml:space="preserve">  The core  includes:  </w:t>
      </w:r>
      <w:proofErr w:type="spellStart"/>
      <w:r>
        <w:rPr>
          <w:rStyle w:val="normaltextrun"/>
          <w:rFonts w:ascii="Arial" w:hAnsi="Arial" w:cs="Arial"/>
          <w:color w:val="000000"/>
          <w:sz w:val="22"/>
          <w:szCs w:val="22"/>
        </w:rPr>
        <w:t>ThermoQ</w:t>
      </w:r>
      <w:proofErr w:type="spellEnd"/>
      <w:r>
        <w:rPr>
          <w:rStyle w:val="normaltextrun"/>
          <w:rFonts w:ascii="Arial" w:hAnsi="Arial" w:cs="Arial"/>
          <w:color w:val="000000"/>
          <w:sz w:val="22"/>
          <w:szCs w:val="22"/>
        </w:rPr>
        <w:t xml:space="preserve"> </w:t>
      </w:r>
      <w:proofErr w:type="spellStart"/>
      <w:r>
        <w:rPr>
          <w:rStyle w:val="normaltextrun"/>
          <w:rFonts w:ascii="Arial" w:hAnsi="Arial" w:cs="Arial"/>
          <w:color w:val="000000"/>
          <w:sz w:val="22"/>
          <w:szCs w:val="22"/>
        </w:rPr>
        <w:t>Exactive</w:t>
      </w:r>
      <w:proofErr w:type="spellEnd"/>
      <w:r>
        <w:rPr>
          <w:rStyle w:val="normaltextrun"/>
          <w:rFonts w:ascii="Arial" w:hAnsi="Arial" w:cs="Arial"/>
          <w:color w:val="000000"/>
          <w:sz w:val="22"/>
          <w:szCs w:val="22"/>
        </w:rPr>
        <w:t xml:space="preserve"> with Thermo Easy-</w:t>
      </w:r>
      <w:proofErr w:type="spellStart"/>
      <w:r>
        <w:rPr>
          <w:rStyle w:val="normaltextrun"/>
          <w:rFonts w:ascii="Arial" w:hAnsi="Arial" w:cs="Arial"/>
          <w:color w:val="000000"/>
          <w:sz w:val="22"/>
          <w:szCs w:val="22"/>
        </w:rPr>
        <w:t>nLC</w:t>
      </w:r>
      <w:proofErr w:type="spellEnd"/>
      <w:r>
        <w:rPr>
          <w:rStyle w:val="normaltextrun"/>
          <w:rFonts w:ascii="Arial" w:hAnsi="Arial" w:cs="Arial"/>
          <w:color w:val="000000"/>
          <w:sz w:val="22"/>
          <w:szCs w:val="22"/>
        </w:rPr>
        <w:t xml:space="preserve"> 1000 Liquid Chromatograph, Thermo LTQ Orbitrap with </w:t>
      </w:r>
      <w:proofErr w:type="spellStart"/>
      <w:r>
        <w:rPr>
          <w:rStyle w:val="normaltextrun"/>
          <w:rFonts w:ascii="Arial" w:hAnsi="Arial" w:cs="Arial"/>
          <w:color w:val="000000"/>
          <w:sz w:val="22"/>
          <w:szCs w:val="22"/>
        </w:rPr>
        <w:t>Eksigent</w:t>
      </w:r>
      <w:proofErr w:type="spellEnd"/>
      <w:r>
        <w:rPr>
          <w:rStyle w:val="normaltextrun"/>
          <w:rFonts w:ascii="Arial" w:hAnsi="Arial" w:cs="Arial"/>
          <w:color w:val="000000"/>
          <w:sz w:val="22"/>
          <w:szCs w:val="22"/>
        </w:rPr>
        <w:t xml:space="preserve"> </w:t>
      </w:r>
      <w:proofErr w:type="spellStart"/>
      <w:r>
        <w:rPr>
          <w:rStyle w:val="normaltextrun"/>
          <w:rFonts w:ascii="Arial" w:hAnsi="Arial" w:cs="Arial"/>
          <w:color w:val="000000"/>
          <w:sz w:val="22"/>
          <w:szCs w:val="22"/>
        </w:rPr>
        <w:t>NanoLC</w:t>
      </w:r>
      <w:proofErr w:type="spellEnd"/>
      <w:r>
        <w:rPr>
          <w:rStyle w:val="normaltextrun"/>
          <w:rFonts w:ascii="Arial" w:hAnsi="Arial" w:cs="Arial"/>
          <w:color w:val="000000"/>
          <w:sz w:val="22"/>
          <w:szCs w:val="22"/>
        </w:rPr>
        <w:t xml:space="preserve"> Ultra, Thermo LTQ-ETD with Agilent HP1100, Bruker MALDI-</w:t>
      </w:r>
      <w:proofErr w:type="spellStart"/>
      <w:r>
        <w:rPr>
          <w:rStyle w:val="normaltextrun"/>
          <w:rFonts w:ascii="Arial" w:hAnsi="Arial" w:cs="Arial"/>
          <w:color w:val="000000"/>
          <w:sz w:val="22"/>
          <w:szCs w:val="22"/>
        </w:rPr>
        <w:t>ToF</w:t>
      </w:r>
      <w:proofErr w:type="spellEnd"/>
      <w:r>
        <w:rPr>
          <w:rStyle w:val="normaltextrun"/>
          <w:rFonts w:ascii="Arial" w:hAnsi="Arial" w:cs="Arial"/>
          <w:color w:val="000000"/>
          <w:sz w:val="22"/>
          <w:szCs w:val="22"/>
        </w:rPr>
        <w:t xml:space="preserve"> (</w:t>
      </w:r>
      <w:proofErr w:type="spellStart"/>
      <w:r>
        <w:rPr>
          <w:rStyle w:val="normaltextrun"/>
          <w:rFonts w:ascii="Arial" w:hAnsi="Arial" w:cs="Arial"/>
          <w:color w:val="000000"/>
          <w:sz w:val="22"/>
          <w:szCs w:val="22"/>
        </w:rPr>
        <w:t>MicroFlex</w:t>
      </w:r>
      <w:proofErr w:type="spellEnd"/>
      <w:r>
        <w:rPr>
          <w:rStyle w:val="normaltextrun"/>
          <w:rFonts w:ascii="Arial" w:hAnsi="Arial" w:cs="Arial"/>
          <w:color w:val="000000"/>
          <w:sz w:val="22"/>
          <w:szCs w:val="22"/>
        </w:rPr>
        <w:t>), Agilent 1100 with UV and fraction collector HPLC, TA Nano Isothermal Titration Calorimeter (ITC).</w:t>
      </w:r>
      <w:r>
        <w:rPr>
          <w:rStyle w:val="eop"/>
          <w:rFonts w:ascii="Arial" w:hAnsi="Arial" w:cs="Arial"/>
          <w:color w:val="000000"/>
          <w:sz w:val="22"/>
          <w:szCs w:val="22"/>
        </w:rPr>
        <w:t> </w:t>
      </w:r>
    </w:p>
    <w:p w14:paraId="530B3BF6"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48C2D3C7" w14:textId="710824EE" w:rsidR="005524FF" w:rsidRDefault="005524FF" w:rsidP="005524FF">
      <w:pPr>
        <w:rPr>
          <w:rFonts w:ascii="Arial" w:hAnsi="Arial" w:cs="Arial"/>
          <w:b/>
          <w:bCs/>
          <w:iCs/>
        </w:rPr>
      </w:pPr>
      <w:r>
        <w:rPr>
          <w:rStyle w:val="normaltextrun"/>
          <w:rFonts w:ascii="Arial" w:hAnsi="Arial" w:cs="Arial"/>
          <w:color w:val="000000"/>
          <w:u w:val="single"/>
        </w:rPr>
        <w:t>X-Ray Crystallography Core Facility:</w:t>
      </w:r>
      <w:r>
        <w:rPr>
          <w:rStyle w:val="normaltextrun"/>
          <w:rFonts w:ascii="Arial" w:hAnsi="Arial" w:cs="Arial"/>
          <w:color w:val="000000"/>
        </w:rPr>
        <w:t xml:space="preserve">  The core includes:  Minstrel III, </w:t>
      </w:r>
      <w:proofErr w:type="spellStart"/>
      <w:r>
        <w:rPr>
          <w:rStyle w:val="normaltextrun"/>
          <w:rFonts w:ascii="Arial" w:hAnsi="Arial" w:cs="Arial"/>
          <w:color w:val="000000"/>
        </w:rPr>
        <w:t>RoboIncubators</w:t>
      </w:r>
      <w:proofErr w:type="spellEnd"/>
      <w:r>
        <w:rPr>
          <w:rStyle w:val="normaltextrun"/>
          <w:rFonts w:ascii="Arial" w:hAnsi="Arial" w:cs="Arial"/>
          <w:color w:val="000000"/>
        </w:rPr>
        <w:t>, Leica stereomicroscope, Gryphon Crystallization Robot, Bruker AXS Smart APEX CCD</w:t>
      </w:r>
      <w:r>
        <w:rPr>
          <w:rStyle w:val="normaltextrun"/>
          <w:rFonts w:ascii="Arial" w:hAnsi="Arial" w:cs="Arial"/>
          <w:b/>
          <w:bCs/>
          <w:color w:val="000000"/>
        </w:rPr>
        <w:t xml:space="preserve"> </w:t>
      </w:r>
      <w:r>
        <w:rPr>
          <w:rStyle w:val="normaltextrun"/>
          <w:rFonts w:ascii="Tahoma" w:hAnsi="Tahoma" w:cs="Tahoma"/>
          <w:color w:val="000000"/>
        </w:rPr>
        <w:t>﻿</w:t>
      </w:r>
      <w:r>
        <w:rPr>
          <w:rStyle w:val="normaltextrun"/>
          <w:rFonts w:ascii="Arial" w:hAnsi="Arial" w:cs="Arial"/>
          <w:color w:val="000000"/>
        </w:rPr>
        <w:t xml:space="preserve">diffraction system, Rigaku MicroMax-007 HFM X-ray generator with a </w:t>
      </w:r>
      <w:proofErr w:type="spellStart"/>
      <w:r>
        <w:rPr>
          <w:rStyle w:val="normaltextrun"/>
          <w:rFonts w:ascii="Arial" w:hAnsi="Arial" w:cs="Arial"/>
          <w:color w:val="000000"/>
        </w:rPr>
        <w:t>VariMax</w:t>
      </w:r>
      <w:proofErr w:type="spellEnd"/>
      <w:r>
        <w:rPr>
          <w:rStyle w:val="normaltextrun"/>
          <w:rFonts w:ascii="Arial" w:hAnsi="Arial" w:cs="Arial"/>
          <w:color w:val="000000"/>
        </w:rPr>
        <w:t xml:space="preserve"> HR optics and an X-Stream 2000 crystal cryo-freezing system, Mar345dtb image plate detector, and </w:t>
      </w:r>
      <w:proofErr w:type="spellStart"/>
      <w:r>
        <w:rPr>
          <w:rStyle w:val="normaltextrun"/>
          <w:rFonts w:ascii="Arial" w:hAnsi="Arial" w:cs="Arial"/>
          <w:color w:val="000000"/>
        </w:rPr>
        <w:t>Proteros</w:t>
      </w:r>
      <w:proofErr w:type="spellEnd"/>
      <w:r>
        <w:rPr>
          <w:rStyle w:val="normaltextrun"/>
          <w:rFonts w:ascii="Arial" w:hAnsi="Arial" w:cs="Arial"/>
          <w:color w:val="000000"/>
        </w:rPr>
        <w:t xml:space="preserve"> Free Mounting System (FMS)</w:t>
      </w:r>
      <w:r>
        <w:rPr>
          <w:rStyle w:val="normaltextrun"/>
          <w:rFonts w:ascii="Arial" w:hAnsi="Arial" w:cs="Arial"/>
          <w:b/>
          <w:bCs/>
          <w:color w:val="000000"/>
        </w:rPr>
        <w:t>.  </w:t>
      </w:r>
    </w:p>
    <w:p w14:paraId="7485DC81"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rPr>
        <w:t xml:space="preserve">Max Plank Core Equipment.  </w:t>
      </w:r>
      <w:r>
        <w:rPr>
          <w:rStyle w:val="normaltextrun"/>
          <w:rFonts w:ascii="Arial" w:hAnsi="Arial" w:cs="Arial"/>
          <w:color w:val="000000"/>
          <w:sz w:val="22"/>
          <w:szCs w:val="22"/>
        </w:rPr>
        <w:t>Through a reciprocity agreement, FAU faculty and trainees have access to the specialized core facilities at the Max Planck Florida Institute of Neuroscience located on the FAU Jupiter campus. These include the following core facilities:</w:t>
      </w:r>
      <w:r>
        <w:rPr>
          <w:rStyle w:val="eop"/>
          <w:rFonts w:ascii="Arial" w:hAnsi="Arial" w:cs="Arial"/>
          <w:color w:val="000000"/>
          <w:sz w:val="22"/>
          <w:szCs w:val="22"/>
        </w:rPr>
        <w:t> </w:t>
      </w:r>
    </w:p>
    <w:p w14:paraId="4E693D78"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36680122"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u w:val="single"/>
        </w:rPr>
        <w:t>Electron Microscopy Core.</w:t>
      </w:r>
      <w:r>
        <w:rPr>
          <w:rStyle w:val="normaltextrun"/>
          <w:rFonts w:ascii="Arial" w:hAnsi="Arial" w:cs="Arial"/>
          <w:color w:val="000000"/>
          <w:sz w:val="22"/>
          <w:szCs w:val="22"/>
        </w:rPr>
        <w:t xml:space="preserve"> Instrumentation includes a FEI </w:t>
      </w:r>
      <w:proofErr w:type="spellStart"/>
      <w:r>
        <w:rPr>
          <w:rStyle w:val="normaltextrun"/>
          <w:rFonts w:ascii="Arial" w:hAnsi="Arial" w:cs="Arial"/>
          <w:color w:val="000000"/>
          <w:sz w:val="22"/>
          <w:szCs w:val="22"/>
        </w:rPr>
        <w:t>Tecnai</w:t>
      </w:r>
      <w:proofErr w:type="spellEnd"/>
      <w:r>
        <w:rPr>
          <w:rStyle w:val="normaltextrun"/>
          <w:rFonts w:ascii="Arial" w:hAnsi="Arial" w:cs="Arial"/>
          <w:color w:val="000000"/>
          <w:sz w:val="22"/>
          <w:szCs w:val="22"/>
        </w:rPr>
        <w:t xml:space="preserve"> transmission electron microscope, Zeiss Merlin VP Compact scanning electron microscope, High-pressure freezing system (HPM100), Automatic freeze-substitution device (AFS), Cryo-preparation system (CPC), Ultramicrotome (UC7), and a Freeze-fracture system (JFDV). The facility is also capable of Serial Block Face Scanning and Serial Automated TEM EM. </w:t>
      </w:r>
      <w:r>
        <w:rPr>
          <w:rStyle w:val="eop"/>
          <w:rFonts w:ascii="Arial" w:hAnsi="Arial" w:cs="Arial"/>
          <w:color w:val="000000"/>
          <w:sz w:val="22"/>
          <w:szCs w:val="22"/>
        </w:rPr>
        <w:t> </w:t>
      </w:r>
    </w:p>
    <w:p w14:paraId="4F003557"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560B2917"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u w:val="single"/>
        </w:rPr>
        <w:t>Microscopy Core:</w:t>
      </w:r>
      <w:r>
        <w:rPr>
          <w:rStyle w:val="normaltextrun"/>
          <w:rFonts w:ascii="Arial" w:hAnsi="Arial" w:cs="Arial"/>
          <w:color w:val="000000"/>
          <w:sz w:val="22"/>
          <w:szCs w:val="22"/>
        </w:rPr>
        <w:t>  The Optical Workshop and Light Microscopy Core provides state-of-the-art technology includes a Zeiss LSM 780 confocal system, Leica SP5 II resonant confocal system, and a Prairie Moving In Vivo Multiphoton system.  </w:t>
      </w:r>
      <w:r>
        <w:rPr>
          <w:rStyle w:val="eop"/>
          <w:rFonts w:ascii="Arial" w:hAnsi="Arial" w:cs="Arial"/>
          <w:color w:val="000000"/>
          <w:sz w:val="22"/>
          <w:szCs w:val="22"/>
        </w:rPr>
        <w:t> </w:t>
      </w:r>
    </w:p>
    <w:p w14:paraId="05343312"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3E97F99A" w14:textId="77777777" w:rsidR="005524FF" w:rsidRDefault="005524FF" w:rsidP="005524F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u w:val="single"/>
        </w:rPr>
        <w:t>Mechanical Workshop:</w:t>
      </w:r>
      <w:r>
        <w:rPr>
          <w:rStyle w:val="normaltextrun"/>
          <w:rFonts w:ascii="Arial" w:hAnsi="Arial" w:cs="Arial"/>
          <w:color w:val="000000"/>
          <w:sz w:val="22"/>
          <w:szCs w:val="22"/>
        </w:rPr>
        <w:t>  The Mechanical Workshop designs and builds commercially unavailable equipment and customizes existing tools for use in novel research methods by MPFI scientists.  The Mechanical Workshop features a 5-axis high-speed CNC milling machine and a 3+2-axis CNC milling machine.  </w:t>
      </w:r>
      <w:r>
        <w:rPr>
          <w:rStyle w:val="eop"/>
          <w:rFonts w:ascii="Arial" w:hAnsi="Arial" w:cs="Arial"/>
          <w:color w:val="000000"/>
          <w:sz w:val="22"/>
          <w:szCs w:val="22"/>
        </w:rPr>
        <w:t> </w:t>
      </w:r>
    </w:p>
    <w:p w14:paraId="20532CC9" w14:textId="77777777" w:rsidR="00086AB8" w:rsidRDefault="00086AB8">
      <w:pPr>
        <w:spacing w:after="0" w:line="240" w:lineRule="auto"/>
        <w:jc w:val="both"/>
        <w:rPr>
          <w:rFonts w:ascii="Arial" w:eastAsia="Arial" w:hAnsi="Arial" w:cs="Arial"/>
          <w:b/>
          <w:sz w:val="24"/>
          <w:szCs w:val="24"/>
          <w:u w:val="single"/>
        </w:rPr>
      </w:pPr>
    </w:p>
    <w:p w14:paraId="1BF5A1C0" w14:textId="1ACF5DEE" w:rsidR="00F23401" w:rsidRDefault="009D2DDC">
      <w:pPr>
        <w:spacing w:after="0" w:line="240" w:lineRule="auto"/>
        <w:jc w:val="both"/>
        <w:rPr>
          <w:rFonts w:ascii="Arial" w:eastAsia="Arial" w:hAnsi="Arial" w:cs="Arial"/>
          <w:b/>
          <w:sz w:val="24"/>
          <w:szCs w:val="24"/>
          <w:u w:val="single"/>
        </w:rPr>
      </w:pPr>
      <w:r>
        <w:rPr>
          <w:rFonts w:ascii="Arial" w:eastAsia="Arial" w:hAnsi="Arial" w:cs="Arial"/>
          <w:b/>
          <w:sz w:val="24"/>
          <w:szCs w:val="24"/>
          <w:u w:val="single"/>
        </w:rPr>
        <w:t xml:space="preserve">FAU </w:t>
      </w:r>
      <w:proofErr w:type="spellStart"/>
      <w:r>
        <w:rPr>
          <w:rFonts w:ascii="Arial" w:eastAsia="Arial" w:hAnsi="Arial" w:cs="Arial"/>
          <w:b/>
          <w:sz w:val="24"/>
          <w:szCs w:val="24"/>
          <w:u w:val="single"/>
        </w:rPr>
        <w:t>Bioaccelerator</w:t>
      </w:r>
      <w:proofErr w:type="spellEnd"/>
      <w:r>
        <w:rPr>
          <w:rFonts w:ascii="Arial" w:eastAsia="Arial" w:hAnsi="Arial" w:cs="Arial"/>
          <w:b/>
          <w:sz w:val="24"/>
          <w:szCs w:val="24"/>
          <w:u w:val="single"/>
        </w:rPr>
        <w:t>: From Bench to Bedside</w:t>
      </w:r>
    </w:p>
    <w:p w14:paraId="09A8503D" w14:textId="77777777" w:rsidR="009D2DDC" w:rsidRPr="000C62D6" w:rsidRDefault="009D2DDC" w:rsidP="000C62D6">
      <w:pPr>
        <w:spacing w:after="0" w:line="240" w:lineRule="auto"/>
        <w:jc w:val="both"/>
        <w:rPr>
          <w:rFonts w:ascii="Arial" w:eastAsia="Arial" w:hAnsi="Arial" w:cs="Arial"/>
          <w:b/>
          <w:sz w:val="24"/>
          <w:szCs w:val="24"/>
          <w:u w:val="single"/>
        </w:rPr>
      </w:pPr>
    </w:p>
    <w:p w14:paraId="10D2060F" w14:textId="77777777" w:rsidR="00F23401" w:rsidRPr="000C62D6" w:rsidRDefault="00F23401" w:rsidP="000C62D6">
      <w:pPr>
        <w:spacing w:line="240" w:lineRule="auto"/>
        <w:jc w:val="both"/>
        <w:rPr>
          <w:rFonts w:ascii="Arial" w:eastAsia="Arial" w:hAnsi="Arial" w:cs="Arial"/>
          <w:sz w:val="24"/>
          <w:szCs w:val="24"/>
        </w:rPr>
      </w:pPr>
      <w:bookmarkStart w:id="5" w:name="_gjdgxs" w:colFirst="0" w:colLast="0"/>
      <w:bookmarkEnd w:id="5"/>
      <w:r w:rsidRPr="000C62D6">
        <w:rPr>
          <w:rFonts w:ascii="Arial" w:eastAsia="Arial" w:hAnsi="Arial" w:cs="Arial"/>
          <w:sz w:val="24"/>
          <w:szCs w:val="24"/>
        </w:rPr>
        <w:t>FAU’s annual economic impact is estimated at $6.3 billion. This is due, in part, to FAU’s strong ties to the local private sector and proactive stance toward the stimulation of new technology and business ventures. The Research Park at Florida Atlantic University®, a 70-acre campus housed on the Boca Raton campus, is home to technology companies and research-based organizations working to support the research and development activities of FAU foster economic development and broaden the economic base of Broward and Palm Beach counties. The only state university affiliated research park in South Florida, it is home to dozens of high-tech companies and five support organizations. It also operates the premier Technology Business Incubator (TBI) in the region and hosts space for FAU Tech Runway</w:t>
      </w:r>
      <w:r w:rsidRPr="000C62D6">
        <w:rPr>
          <w:rFonts w:ascii="Arial" w:eastAsia="Arial" w:hAnsi="Arial" w:cs="Arial"/>
          <w:b/>
          <w:sz w:val="24"/>
          <w:szCs w:val="24"/>
        </w:rPr>
        <w:t>.</w:t>
      </w:r>
    </w:p>
    <w:p w14:paraId="643F2E09" w14:textId="77777777" w:rsidR="00F23401" w:rsidRPr="000C62D6" w:rsidRDefault="00F23401" w:rsidP="000C62D6">
      <w:pPr>
        <w:spacing w:line="240" w:lineRule="auto"/>
        <w:jc w:val="both"/>
        <w:rPr>
          <w:rFonts w:ascii="Arial" w:eastAsia="Arial" w:hAnsi="Arial" w:cs="Arial"/>
          <w:sz w:val="24"/>
          <w:szCs w:val="24"/>
        </w:rPr>
      </w:pPr>
      <w:r w:rsidRPr="000C62D6">
        <w:rPr>
          <w:rFonts w:ascii="Arial" w:eastAsia="Arial" w:hAnsi="Arial" w:cs="Arial"/>
          <w:sz w:val="24"/>
          <w:szCs w:val="24"/>
        </w:rPr>
        <w:t>FAU Tech Runway</w:t>
      </w:r>
      <w:r w:rsidRPr="000C62D6">
        <w:rPr>
          <w:rFonts w:ascii="Arial" w:eastAsia="Arial" w:hAnsi="Arial" w:cs="Arial"/>
          <w:b/>
          <w:sz w:val="24"/>
          <w:szCs w:val="24"/>
        </w:rPr>
        <w:t>,</w:t>
      </w:r>
      <w:r w:rsidRPr="000C62D6">
        <w:rPr>
          <w:rFonts w:ascii="Arial" w:eastAsia="Arial" w:hAnsi="Arial" w:cs="Arial"/>
          <w:sz w:val="24"/>
          <w:szCs w:val="24"/>
        </w:rPr>
        <w:t xml:space="preserve"> established in 2014, is an entrepreneurship program that fosters startup companies aligned with FAU’s research expertise and focus areas. A South Florida public-private partnership, FAU Tech Runway serves as a core entrepreneurship hub to accelerate technology development and incubate startup companies. This incubation and acceleration </w:t>
      </w:r>
      <w:proofErr w:type="gramStart"/>
      <w:r w:rsidRPr="000C62D6">
        <w:rPr>
          <w:rFonts w:ascii="Arial" w:eastAsia="Arial" w:hAnsi="Arial" w:cs="Arial"/>
          <w:sz w:val="24"/>
          <w:szCs w:val="24"/>
        </w:rPr>
        <w:t>takes</w:t>
      </w:r>
      <w:proofErr w:type="gramEnd"/>
      <w:r w:rsidRPr="000C62D6">
        <w:rPr>
          <w:rFonts w:ascii="Arial" w:eastAsia="Arial" w:hAnsi="Arial" w:cs="Arial"/>
          <w:sz w:val="24"/>
          <w:szCs w:val="24"/>
        </w:rPr>
        <w:t xml:space="preserve"> place in a 28,000-square-foot collaborative working space that provides entrepreneurs with a complete ecosystem to house, educate, mentor and fund their ventures from ideation phase through to the scaling stage. To date, FAU Tech Runway has launched and served 72 startup companies, which have collectively raised more than $63.5 million in capital, created more than 350 jobs and generated more than $64.7 million in sales revenue. </w:t>
      </w:r>
    </w:p>
    <w:p w14:paraId="66D5FF23" w14:textId="77777777" w:rsidR="00F23401" w:rsidRPr="000C62D6" w:rsidRDefault="00F23401" w:rsidP="000C62D6">
      <w:pPr>
        <w:pBdr>
          <w:top w:val="nil"/>
          <w:left w:val="nil"/>
          <w:bottom w:val="nil"/>
          <w:right w:val="nil"/>
          <w:between w:val="nil"/>
        </w:pBdr>
        <w:spacing w:after="0" w:line="240" w:lineRule="auto"/>
        <w:jc w:val="both"/>
        <w:rPr>
          <w:rFonts w:ascii="Arial" w:hAnsi="Arial" w:cs="Arial"/>
          <w:color w:val="000000"/>
          <w:sz w:val="24"/>
          <w:szCs w:val="24"/>
        </w:rPr>
      </w:pPr>
      <w:r w:rsidRPr="000C62D6">
        <w:rPr>
          <w:rFonts w:ascii="Arial" w:eastAsia="Arial" w:hAnsi="Arial" w:cs="Arial"/>
          <w:color w:val="000000"/>
          <w:sz w:val="24"/>
          <w:szCs w:val="24"/>
        </w:rPr>
        <w:t xml:space="preserve">Students are a key part of the entrepreneurship cycle. The “FAU Wave” program incentivizes undergraduate students to create innovative individual or group projects that solve real-world problems or fill niches in the business or non-profit sectors. The two-semester program helps students find faculty or graduate mentors, obtain resources and equipment to develop their prototype or idea, and showcase their work for a year-end awards competition. Related programs, such as I-CORPs, funded by the </w:t>
      </w:r>
      <w:r w:rsidRPr="000C62D6">
        <w:rPr>
          <w:rFonts w:ascii="Arial" w:eastAsia="Arial" w:hAnsi="Arial" w:cs="Arial"/>
          <w:color w:val="000000"/>
          <w:sz w:val="24"/>
          <w:szCs w:val="24"/>
        </w:rPr>
        <w:lastRenderedPageBreak/>
        <w:t>National Science Foundation, help participants further implement and grow their idea by receiving valuable market feedback from potential customers.</w:t>
      </w:r>
    </w:p>
    <w:p w14:paraId="3AA9C2D3" w14:textId="77777777" w:rsidR="00F23401" w:rsidRPr="000C62D6" w:rsidRDefault="00F23401" w:rsidP="000C62D6">
      <w:pPr>
        <w:pBdr>
          <w:top w:val="nil"/>
          <w:left w:val="nil"/>
          <w:bottom w:val="nil"/>
          <w:right w:val="nil"/>
          <w:between w:val="nil"/>
        </w:pBdr>
        <w:spacing w:after="0" w:line="240" w:lineRule="auto"/>
        <w:jc w:val="both"/>
        <w:rPr>
          <w:rFonts w:ascii="Arial" w:eastAsia="Arial" w:hAnsi="Arial" w:cs="Arial"/>
          <w:color w:val="000000"/>
          <w:sz w:val="24"/>
          <w:szCs w:val="24"/>
        </w:rPr>
      </w:pPr>
    </w:p>
    <w:p w14:paraId="1DA3DBB7" w14:textId="0578BA09" w:rsidR="00F23401" w:rsidRPr="000C62D6" w:rsidRDefault="009D2DDC" w:rsidP="000C62D6">
      <w:pPr>
        <w:pBdr>
          <w:top w:val="nil"/>
          <w:left w:val="nil"/>
          <w:bottom w:val="nil"/>
          <w:right w:val="nil"/>
          <w:between w:val="nil"/>
        </w:pBdr>
        <w:shd w:val="clear" w:color="auto" w:fill="FFFFFF"/>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FAU Undergraduate and Graduate Education</w:t>
      </w:r>
    </w:p>
    <w:p w14:paraId="6B4DAE9E" w14:textId="3D97240E" w:rsidR="00A351B2" w:rsidRPr="000C62D6" w:rsidRDefault="00F23401" w:rsidP="005336CD">
      <w:pPr>
        <w:pStyle w:val="NoSpacing"/>
        <w:jc w:val="both"/>
        <w:rPr>
          <w:rFonts w:ascii="Arial" w:hAnsi="Arial" w:cs="Arial"/>
          <w:sz w:val="24"/>
          <w:szCs w:val="24"/>
        </w:rPr>
      </w:pPr>
      <w:r w:rsidRPr="000C62D6">
        <w:rPr>
          <w:rFonts w:ascii="Arial" w:eastAsia="Arial" w:hAnsi="Arial" w:cs="Arial"/>
          <w:color w:val="000000"/>
          <w:sz w:val="24"/>
          <w:szCs w:val="24"/>
        </w:rPr>
        <w:t xml:space="preserve">FAU’s student body ranks as the most ethnically and culturally diverse in Florida's State University System! For the second year in a row, U.S. News and World Report has included FAU on its list of the most ethnically diverse universities in the United States. Currently, nearly 30,000 students are enrolled at the university, and more than 45% identify themselves as minority students.  FAU is also designated as a U.S. Department of Education Hispanic-serving Institution with an enrollment of 27% Hispanic undergraduates. In addition to </w:t>
      </w:r>
      <w:r w:rsidRPr="000C62D6">
        <w:rPr>
          <w:rFonts w:ascii="Arial" w:eastAsia="Arial" w:hAnsi="Arial" w:cs="Arial"/>
          <w:b/>
          <w:i/>
          <w:color w:val="000000"/>
          <w:sz w:val="24"/>
          <w:szCs w:val="24"/>
        </w:rPr>
        <w:t xml:space="preserve">enrolling </w:t>
      </w:r>
      <w:r w:rsidRPr="000C62D6">
        <w:rPr>
          <w:rFonts w:ascii="Arial" w:eastAsia="Arial" w:hAnsi="Arial" w:cs="Arial"/>
          <w:color w:val="000000"/>
          <w:sz w:val="24"/>
          <w:szCs w:val="24"/>
        </w:rPr>
        <w:t>diverse students, the university also</w:t>
      </w:r>
      <w:r w:rsidRPr="000C62D6">
        <w:rPr>
          <w:rFonts w:ascii="Arial" w:eastAsia="Arial" w:hAnsi="Arial" w:cs="Arial"/>
          <w:b/>
          <w:i/>
          <w:color w:val="000000"/>
          <w:sz w:val="24"/>
          <w:szCs w:val="24"/>
        </w:rPr>
        <w:t xml:space="preserve"> graduates </w:t>
      </w:r>
      <w:r w:rsidRPr="000C62D6">
        <w:rPr>
          <w:rFonts w:ascii="Arial" w:eastAsia="Arial" w:hAnsi="Arial" w:cs="Arial"/>
          <w:color w:val="000000"/>
          <w:sz w:val="24"/>
          <w:szCs w:val="24"/>
        </w:rPr>
        <w:t xml:space="preserve">a high number of underrepresented minority students.  According to the 2019 </w:t>
      </w:r>
      <w:r w:rsidRPr="000C62D6">
        <w:rPr>
          <w:rFonts w:ascii="Arial" w:eastAsia="Arial" w:hAnsi="Arial" w:cs="Arial"/>
          <w:i/>
          <w:color w:val="000000"/>
          <w:sz w:val="24"/>
          <w:szCs w:val="24"/>
        </w:rPr>
        <w:t>Diverse:  Issues in Higher Education</w:t>
      </w:r>
      <w:r w:rsidRPr="000C62D6">
        <w:rPr>
          <w:rFonts w:ascii="Arial" w:eastAsia="Arial" w:hAnsi="Arial" w:cs="Arial"/>
          <w:color w:val="000000"/>
          <w:sz w:val="24"/>
          <w:szCs w:val="24"/>
        </w:rPr>
        <w:t>’s Top 100, FAU ranked 36th among other U.S. institutions in total minority bachelor’s degrees awarded, 9</w:t>
      </w:r>
      <w:r w:rsidRPr="000C62D6">
        <w:rPr>
          <w:rFonts w:ascii="Arial" w:eastAsia="Arial" w:hAnsi="Arial" w:cs="Arial"/>
          <w:color w:val="000000"/>
          <w:sz w:val="24"/>
          <w:szCs w:val="24"/>
          <w:vertAlign w:val="superscript"/>
        </w:rPr>
        <w:t>th</w:t>
      </w:r>
      <w:r w:rsidRPr="000C62D6">
        <w:rPr>
          <w:rFonts w:ascii="Arial" w:eastAsia="Arial" w:hAnsi="Arial" w:cs="Arial"/>
          <w:color w:val="000000"/>
          <w:sz w:val="24"/>
          <w:szCs w:val="24"/>
        </w:rPr>
        <w:t xml:space="preserve"> in conferring bachelor’s degrees to African-American students, and 36th in conferring bachelor’s degrees to Hispanic students. Notably, FAU placed 12</w:t>
      </w:r>
      <w:r w:rsidRPr="000C62D6">
        <w:rPr>
          <w:rFonts w:ascii="Arial" w:eastAsia="Arial" w:hAnsi="Arial" w:cs="Arial"/>
          <w:color w:val="000000"/>
          <w:sz w:val="24"/>
          <w:szCs w:val="24"/>
          <w:vertAlign w:val="superscript"/>
        </w:rPr>
        <w:t>th</w:t>
      </w:r>
      <w:r w:rsidRPr="000C62D6">
        <w:rPr>
          <w:rFonts w:ascii="Arial" w:eastAsia="Arial" w:hAnsi="Arial" w:cs="Arial"/>
          <w:color w:val="000000"/>
          <w:sz w:val="24"/>
          <w:szCs w:val="24"/>
        </w:rPr>
        <w:t xml:space="preserve"> in conferring biological and biomedical science degrees to African-American students and 26</w:t>
      </w:r>
      <w:r w:rsidRPr="000C62D6">
        <w:rPr>
          <w:rFonts w:ascii="Arial" w:eastAsia="Arial" w:hAnsi="Arial" w:cs="Arial"/>
          <w:color w:val="000000"/>
          <w:sz w:val="24"/>
          <w:szCs w:val="24"/>
          <w:vertAlign w:val="superscript"/>
        </w:rPr>
        <w:t>th</w:t>
      </w:r>
      <w:r w:rsidRPr="000C62D6">
        <w:rPr>
          <w:rFonts w:ascii="Arial" w:eastAsia="Arial" w:hAnsi="Arial" w:cs="Arial"/>
          <w:color w:val="000000"/>
          <w:sz w:val="24"/>
          <w:szCs w:val="24"/>
        </w:rPr>
        <w:t xml:space="preserve"> in conferring biological and biomedical science degrees to Hispanic students. </w:t>
      </w:r>
      <w:r w:rsidRPr="000C62D6">
        <w:rPr>
          <w:rFonts w:ascii="Arial" w:hAnsi="Arial" w:cs="Arial"/>
          <w:sz w:val="24"/>
          <w:szCs w:val="24"/>
        </w:rPr>
        <w:t>Additionally, FAU placed 12th in awarding of health profession degrees to African-Am</w:t>
      </w:r>
      <w:r w:rsidR="009B47E3" w:rsidRPr="000C62D6">
        <w:rPr>
          <w:rFonts w:ascii="Arial" w:hAnsi="Arial" w:cs="Arial"/>
          <w:sz w:val="24"/>
          <w:szCs w:val="24"/>
        </w:rPr>
        <w:t xml:space="preserve">ericans. </w:t>
      </w:r>
    </w:p>
    <w:p w14:paraId="15DABFEC" w14:textId="04017FD4" w:rsidR="001B314D" w:rsidRPr="000C62D6" w:rsidRDefault="001B314D" w:rsidP="005336CD">
      <w:pPr>
        <w:pStyle w:val="NoSpacing"/>
        <w:jc w:val="both"/>
        <w:rPr>
          <w:rFonts w:ascii="Arial" w:hAnsi="Arial" w:cs="Arial"/>
          <w:sz w:val="24"/>
          <w:szCs w:val="24"/>
        </w:rPr>
      </w:pPr>
    </w:p>
    <w:p w14:paraId="546912EA" w14:textId="5FB39A42" w:rsidR="001B314D" w:rsidRPr="000C62D6" w:rsidRDefault="001B314D" w:rsidP="005336CD">
      <w:pPr>
        <w:jc w:val="both"/>
        <w:rPr>
          <w:rFonts w:ascii="Arial" w:eastAsia="Arial" w:hAnsi="Arial" w:cs="Arial"/>
          <w:sz w:val="24"/>
          <w:szCs w:val="24"/>
        </w:rPr>
      </w:pPr>
      <w:r w:rsidRPr="000C62D6">
        <w:rPr>
          <w:rFonts w:ascii="Arial" w:eastAsia="Arial" w:hAnsi="Arial" w:cs="Arial"/>
          <w:sz w:val="24"/>
          <w:szCs w:val="24"/>
        </w:rPr>
        <w:t xml:space="preserve">I-BRAIN </w:t>
      </w:r>
      <w:r w:rsidR="009D2DDC">
        <w:rPr>
          <w:rFonts w:ascii="Arial" w:eastAsia="Arial" w:hAnsi="Arial" w:cs="Arial"/>
          <w:sz w:val="24"/>
          <w:szCs w:val="24"/>
        </w:rPr>
        <w:t>offers</w:t>
      </w:r>
      <w:r w:rsidRPr="000C62D6">
        <w:rPr>
          <w:rFonts w:ascii="Arial" w:eastAsia="Arial" w:hAnsi="Arial" w:cs="Arial"/>
          <w:sz w:val="24"/>
          <w:szCs w:val="24"/>
        </w:rPr>
        <w:t xml:space="preserve"> </w:t>
      </w:r>
      <w:r w:rsidR="009D2DDC">
        <w:rPr>
          <w:rFonts w:ascii="Arial" w:eastAsia="Arial" w:hAnsi="Arial" w:cs="Arial"/>
          <w:sz w:val="24"/>
          <w:szCs w:val="24"/>
        </w:rPr>
        <w:t>a PhD program in</w:t>
      </w:r>
      <w:r w:rsidR="009D2DDC" w:rsidRPr="000C62D6">
        <w:rPr>
          <w:rFonts w:ascii="Arial" w:eastAsia="Arial" w:hAnsi="Arial" w:cs="Arial"/>
          <w:sz w:val="24"/>
          <w:szCs w:val="24"/>
        </w:rPr>
        <w:t xml:space="preserve"> </w:t>
      </w:r>
      <w:r w:rsidRPr="000C62D6">
        <w:rPr>
          <w:rFonts w:ascii="Arial" w:eastAsia="Arial" w:hAnsi="Arial" w:cs="Arial"/>
          <w:sz w:val="24"/>
          <w:szCs w:val="24"/>
        </w:rPr>
        <w:t xml:space="preserve">FAU Graduate Neuroscience Education Program.  This graduate program unites scientists, educators, and students from three FAU Ph.D. programs (Integrative Biology-Neuroscience, Complex Systems and Brain Sciences, and Experimental Psychology) and from two internationally recognized research institutes (the Max Planck Florida Institute for Neuroscience and the Scripps Research Institute’s Florida campus) into a one-of-a-kind training opportunity. I-BRAIN faculty, investigators, and students also regularly organize seminars, poster sessions, training activities, symposia, and networking events to help foster collaborative exchange of scientific ideas and to increase exposure and opportunities for scientists and students. I-BRAIN plays an active role in educating the community about the promise and progress of brain research. The Institute’s ASCEND (Advancing STEM: Community Engagement through Neuroscience Discoveries) program, targeted toward middle- and high-school students, taps the energy and intellect of undergraduate, graduate, and postdoctoral neuroscience trainees to excite and inspire future neuroscientists.  </w:t>
      </w:r>
    </w:p>
    <w:p w14:paraId="4891993E" w14:textId="77777777" w:rsidR="001B314D" w:rsidRPr="000C62D6" w:rsidRDefault="001B314D" w:rsidP="005336CD">
      <w:pPr>
        <w:pStyle w:val="NoSpacing"/>
        <w:jc w:val="both"/>
        <w:rPr>
          <w:rFonts w:ascii="Arial" w:hAnsi="Arial" w:cs="Arial"/>
          <w:b/>
          <w:sz w:val="24"/>
          <w:szCs w:val="24"/>
        </w:rPr>
      </w:pPr>
    </w:p>
    <w:p w14:paraId="133275B9" w14:textId="58451CF1" w:rsidR="00013AED" w:rsidRPr="000C62D6" w:rsidRDefault="00013AED" w:rsidP="005336CD">
      <w:pPr>
        <w:widowControl w:val="0"/>
        <w:adjustRightInd w:val="0"/>
        <w:spacing w:after="0" w:line="240" w:lineRule="auto"/>
        <w:jc w:val="both"/>
        <w:rPr>
          <w:rFonts w:ascii="Arial" w:hAnsi="Arial" w:cs="Arial"/>
          <w:b/>
          <w:sz w:val="24"/>
          <w:szCs w:val="24"/>
        </w:rPr>
      </w:pPr>
    </w:p>
    <w:p w14:paraId="626ED037" w14:textId="77777777" w:rsidR="00A41FBA" w:rsidRPr="000C62D6" w:rsidRDefault="00A41FBA" w:rsidP="005336CD">
      <w:pPr>
        <w:spacing w:after="0"/>
        <w:jc w:val="both"/>
        <w:rPr>
          <w:rFonts w:ascii="Arial" w:hAnsi="Arial" w:cs="Arial"/>
          <w:sz w:val="24"/>
          <w:szCs w:val="24"/>
        </w:rPr>
      </w:pPr>
    </w:p>
    <w:p w14:paraId="3573ED64" w14:textId="3CE301FA" w:rsidR="002662A0" w:rsidRPr="000C62D6" w:rsidRDefault="002662A0" w:rsidP="005336CD">
      <w:pPr>
        <w:widowControl w:val="0"/>
        <w:adjustRightInd w:val="0"/>
        <w:spacing w:after="0" w:line="240" w:lineRule="auto"/>
        <w:jc w:val="both"/>
        <w:rPr>
          <w:rFonts w:ascii="Arial" w:eastAsiaTheme="minorEastAsia" w:hAnsi="Arial" w:cs="Arial"/>
          <w:sz w:val="24"/>
          <w:szCs w:val="24"/>
        </w:rPr>
      </w:pPr>
    </w:p>
    <w:sectPr w:rsidR="002662A0" w:rsidRPr="000C62D6" w:rsidSect="00FC58D4">
      <w:footerReference w:type="default" r:id="rId13"/>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66DDD" w14:textId="77777777" w:rsidR="002D3B2A" w:rsidRDefault="002D3B2A" w:rsidP="00013C9F">
      <w:pPr>
        <w:spacing w:after="0" w:line="240" w:lineRule="auto"/>
      </w:pPr>
      <w:r>
        <w:separator/>
      </w:r>
    </w:p>
  </w:endnote>
  <w:endnote w:type="continuationSeparator" w:id="0">
    <w:p w14:paraId="2F10C78B" w14:textId="77777777" w:rsidR="002D3B2A" w:rsidRDefault="002D3B2A" w:rsidP="00013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91523" w14:textId="4BC2918F" w:rsidR="00013C9F" w:rsidRDefault="00013C9F" w:rsidP="00013C9F">
    <w:pPr>
      <w:pStyle w:val="Footer"/>
      <w:jc w:val="right"/>
    </w:pPr>
    <w:r>
      <w:t>August 17, 2022</w:t>
    </w:r>
  </w:p>
  <w:p w14:paraId="2081912D" w14:textId="77777777" w:rsidR="00013C9F" w:rsidRDefault="00013C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33C61" w14:textId="77777777" w:rsidR="002D3B2A" w:rsidRDefault="002D3B2A" w:rsidP="00013C9F">
      <w:pPr>
        <w:spacing w:after="0" w:line="240" w:lineRule="auto"/>
      </w:pPr>
      <w:r>
        <w:separator/>
      </w:r>
    </w:p>
  </w:footnote>
  <w:footnote w:type="continuationSeparator" w:id="0">
    <w:p w14:paraId="7BA3D02A" w14:textId="77777777" w:rsidR="002D3B2A" w:rsidRDefault="002D3B2A" w:rsidP="00013C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2C4972"/>
    <w:multiLevelType w:val="hybridMultilevel"/>
    <w:tmpl w:val="BA447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026349"/>
    <w:multiLevelType w:val="multilevel"/>
    <w:tmpl w:val="6EB8E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9E31F9"/>
    <w:multiLevelType w:val="hybridMultilevel"/>
    <w:tmpl w:val="9A009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AD48F9"/>
    <w:multiLevelType w:val="hybridMultilevel"/>
    <w:tmpl w:val="6E2E5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42546C"/>
    <w:multiLevelType w:val="hybridMultilevel"/>
    <w:tmpl w:val="0CA45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190674"/>
    <w:multiLevelType w:val="hybridMultilevel"/>
    <w:tmpl w:val="949CD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91790F"/>
    <w:multiLevelType w:val="hybridMultilevel"/>
    <w:tmpl w:val="0156A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7"/>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F9E"/>
    <w:rsid w:val="00001730"/>
    <w:rsid w:val="00013AED"/>
    <w:rsid w:val="00013C9F"/>
    <w:rsid w:val="00017A55"/>
    <w:rsid w:val="00026149"/>
    <w:rsid w:val="00031DB3"/>
    <w:rsid w:val="00035E19"/>
    <w:rsid w:val="00065EF1"/>
    <w:rsid w:val="00086AB8"/>
    <w:rsid w:val="000A2FF9"/>
    <w:rsid w:val="000B7A83"/>
    <w:rsid w:val="000C3C63"/>
    <w:rsid w:val="000C62D6"/>
    <w:rsid w:val="000D4E69"/>
    <w:rsid w:val="00121C4A"/>
    <w:rsid w:val="00127801"/>
    <w:rsid w:val="00136911"/>
    <w:rsid w:val="00146A03"/>
    <w:rsid w:val="001676C9"/>
    <w:rsid w:val="00167BA5"/>
    <w:rsid w:val="001912A5"/>
    <w:rsid w:val="00193A02"/>
    <w:rsid w:val="0019589E"/>
    <w:rsid w:val="001A75F7"/>
    <w:rsid w:val="001B314D"/>
    <w:rsid w:val="001C60A9"/>
    <w:rsid w:val="001C6396"/>
    <w:rsid w:val="001D131D"/>
    <w:rsid w:val="001D656F"/>
    <w:rsid w:val="001F7D95"/>
    <w:rsid w:val="00240533"/>
    <w:rsid w:val="002662A0"/>
    <w:rsid w:val="0028549B"/>
    <w:rsid w:val="002A4F3D"/>
    <w:rsid w:val="002A7CFF"/>
    <w:rsid w:val="002B7ABD"/>
    <w:rsid w:val="002D3B2A"/>
    <w:rsid w:val="00304B3A"/>
    <w:rsid w:val="0037404A"/>
    <w:rsid w:val="00385377"/>
    <w:rsid w:val="003B57B0"/>
    <w:rsid w:val="003F3E0E"/>
    <w:rsid w:val="00403E04"/>
    <w:rsid w:val="004309F2"/>
    <w:rsid w:val="00463113"/>
    <w:rsid w:val="00494551"/>
    <w:rsid w:val="0049559D"/>
    <w:rsid w:val="004C7BF5"/>
    <w:rsid w:val="004E0FA0"/>
    <w:rsid w:val="004F721B"/>
    <w:rsid w:val="00531C8C"/>
    <w:rsid w:val="005336CD"/>
    <w:rsid w:val="00542F06"/>
    <w:rsid w:val="00545283"/>
    <w:rsid w:val="00547B7A"/>
    <w:rsid w:val="005524FF"/>
    <w:rsid w:val="005568E1"/>
    <w:rsid w:val="00560090"/>
    <w:rsid w:val="005627AF"/>
    <w:rsid w:val="00587D76"/>
    <w:rsid w:val="005A4F10"/>
    <w:rsid w:val="005B77FE"/>
    <w:rsid w:val="005F3DC9"/>
    <w:rsid w:val="00630F9E"/>
    <w:rsid w:val="0064691E"/>
    <w:rsid w:val="00654B86"/>
    <w:rsid w:val="0067647B"/>
    <w:rsid w:val="006801D1"/>
    <w:rsid w:val="00682C6A"/>
    <w:rsid w:val="006955EF"/>
    <w:rsid w:val="006A7024"/>
    <w:rsid w:val="006C3292"/>
    <w:rsid w:val="006D3C63"/>
    <w:rsid w:val="007028D6"/>
    <w:rsid w:val="00730120"/>
    <w:rsid w:val="007504DA"/>
    <w:rsid w:val="00757862"/>
    <w:rsid w:val="007650A3"/>
    <w:rsid w:val="00790255"/>
    <w:rsid w:val="008210C2"/>
    <w:rsid w:val="00821BAD"/>
    <w:rsid w:val="00824879"/>
    <w:rsid w:val="008400A1"/>
    <w:rsid w:val="00843746"/>
    <w:rsid w:val="0088562F"/>
    <w:rsid w:val="00894895"/>
    <w:rsid w:val="008B6ED2"/>
    <w:rsid w:val="008D28E0"/>
    <w:rsid w:val="0091708B"/>
    <w:rsid w:val="00923D32"/>
    <w:rsid w:val="00942D8A"/>
    <w:rsid w:val="00972C41"/>
    <w:rsid w:val="00991F47"/>
    <w:rsid w:val="009B47E3"/>
    <w:rsid w:val="009C7AE5"/>
    <w:rsid w:val="009D2DDC"/>
    <w:rsid w:val="009E60D9"/>
    <w:rsid w:val="00A0502E"/>
    <w:rsid w:val="00A10CE4"/>
    <w:rsid w:val="00A149AF"/>
    <w:rsid w:val="00A351B2"/>
    <w:rsid w:val="00A41FBA"/>
    <w:rsid w:val="00A544B8"/>
    <w:rsid w:val="00AB2BAF"/>
    <w:rsid w:val="00AB74D5"/>
    <w:rsid w:val="00AE7F43"/>
    <w:rsid w:val="00AE7FB5"/>
    <w:rsid w:val="00AF55E9"/>
    <w:rsid w:val="00B01F9D"/>
    <w:rsid w:val="00B13C32"/>
    <w:rsid w:val="00B5527C"/>
    <w:rsid w:val="00B711CC"/>
    <w:rsid w:val="00B81067"/>
    <w:rsid w:val="00B85204"/>
    <w:rsid w:val="00BB6628"/>
    <w:rsid w:val="00BC495B"/>
    <w:rsid w:val="00BD5323"/>
    <w:rsid w:val="00C14549"/>
    <w:rsid w:val="00C45CB5"/>
    <w:rsid w:val="00C610B0"/>
    <w:rsid w:val="00C6548A"/>
    <w:rsid w:val="00CA614F"/>
    <w:rsid w:val="00CD103E"/>
    <w:rsid w:val="00D2276D"/>
    <w:rsid w:val="00D43339"/>
    <w:rsid w:val="00D50B06"/>
    <w:rsid w:val="00D51F7D"/>
    <w:rsid w:val="00D636A6"/>
    <w:rsid w:val="00D77304"/>
    <w:rsid w:val="00D82E0F"/>
    <w:rsid w:val="00DA30E5"/>
    <w:rsid w:val="00DB7E11"/>
    <w:rsid w:val="00DC0F80"/>
    <w:rsid w:val="00DD41A9"/>
    <w:rsid w:val="00DE695E"/>
    <w:rsid w:val="00DF42A7"/>
    <w:rsid w:val="00E12283"/>
    <w:rsid w:val="00E449C4"/>
    <w:rsid w:val="00E457D9"/>
    <w:rsid w:val="00E7068D"/>
    <w:rsid w:val="00ED5196"/>
    <w:rsid w:val="00EF037B"/>
    <w:rsid w:val="00EF45E4"/>
    <w:rsid w:val="00EF6223"/>
    <w:rsid w:val="00F23401"/>
    <w:rsid w:val="00F314BF"/>
    <w:rsid w:val="00F41331"/>
    <w:rsid w:val="00F43EA9"/>
    <w:rsid w:val="00F470E8"/>
    <w:rsid w:val="00F67394"/>
    <w:rsid w:val="00F67ED7"/>
    <w:rsid w:val="00F8103A"/>
    <w:rsid w:val="00F83C88"/>
    <w:rsid w:val="00F8501B"/>
    <w:rsid w:val="00F968F7"/>
    <w:rsid w:val="00FA211A"/>
    <w:rsid w:val="00FC58D4"/>
    <w:rsid w:val="00FF30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9419ECF"/>
  <w15:docId w15:val="{E7E5A360-C2A5-42D1-A38F-9A2313BD5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0F9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630F9E"/>
    <w:pPr>
      <w:spacing w:after="0" w:line="240" w:lineRule="auto"/>
    </w:pPr>
  </w:style>
  <w:style w:type="paragraph" w:styleId="BalloonText">
    <w:name w:val="Balloon Text"/>
    <w:basedOn w:val="Normal"/>
    <w:link w:val="BalloonTextChar"/>
    <w:uiPriority w:val="99"/>
    <w:semiHidden/>
    <w:unhideWhenUsed/>
    <w:rsid w:val="00DD41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1A9"/>
    <w:rPr>
      <w:rFonts w:ascii="Segoe UI" w:hAnsi="Segoe UI" w:cs="Segoe UI"/>
      <w:sz w:val="18"/>
      <w:szCs w:val="18"/>
    </w:rPr>
  </w:style>
  <w:style w:type="character" w:styleId="CommentReference">
    <w:name w:val="annotation reference"/>
    <w:basedOn w:val="DefaultParagraphFont"/>
    <w:uiPriority w:val="99"/>
    <w:semiHidden/>
    <w:unhideWhenUsed/>
    <w:rsid w:val="00167BA5"/>
    <w:rPr>
      <w:sz w:val="16"/>
      <w:szCs w:val="16"/>
    </w:rPr>
  </w:style>
  <w:style w:type="paragraph" w:styleId="CommentText">
    <w:name w:val="annotation text"/>
    <w:basedOn w:val="Normal"/>
    <w:link w:val="CommentTextChar"/>
    <w:uiPriority w:val="99"/>
    <w:unhideWhenUsed/>
    <w:rsid w:val="00167BA5"/>
    <w:pPr>
      <w:spacing w:line="240" w:lineRule="auto"/>
    </w:pPr>
    <w:rPr>
      <w:sz w:val="20"/>
      <w:szCs w:val="20"/>
    </w:rPr>
  </w:style>
  <w:style w:type="character" w:customStyle="1" w:styleId="CommentTextChar">
    <w:name w:val="Comment Text Char"/>
    <w:basedOn w:val="DefaultParagraphFont"/>
    <w:link w:val="CommentText"/>
    <w:uiPriority w:val="99"/>
    <w:rsid w:val="00167BA5"/>
    <w:rPr>
      <w:sz w:val="20"/>
      <w:szCs w:val="20"/>
    </w:rPr>
  </w:style>
  <w:style w:type="character" w:styleId="Strong">
    <w:name w:val="Strong"/>
    <w:basedOn w:val="DefaultParagraphFont"/>
    <w:uiPriority w:val="99"/>
    <w:qFormat/>
    <w:rsid w:val="00A41FBA"/>
    <w:rPr>
      <w:b/>
      <w:bCs/>
    </w:rPr>
  </w:style>
  <w:style w:type="paragraph" w:styleId="NormalWeb">
    <w:name w:val="Normal (Web)"/>
    <w:basedOn w:val="Normal"/>
    <w:uiPriority w:val="99"/>
    <w:rsid w:val="00A41F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
    <w:name w:val="style_2"/>
    <w:uiPriority w:val="99"/>
    <w:rsid w:val="00A41FBA"/>
    <w:rPr>
      <w:rFonts w:cs="Times New Roman"/>
    </w:rPr>
  </w:style>
  <w:style w:type="paragraph" w:styleId="ListParagraph">
    <w:name w:val="List Paragraph"/>
    <w:basedOn w:val="Normal"/>
    <w:uiPriority w:val="34"/>
    <w:qFormat/>
    <w:rsid w:val="00A41FBA"/>
    <w:pPr>
      <w:ind w:left="720"/>
      <w:contextualSpacing/>
    </w:pPr>
  </w:style>
  <w:style w:type="paragraph" w:styleId="Title">
    <w:name w:val="Title"/>
    <w:basedOn w:val="Normal"/>
    <w:next w:val="Normal"/>
    <w:link w:val="TitleChar"/>
    <w:rsid w:val="00F23401"/>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F23401"/>
    <w:rPr>
      <w:rFonts w:ascii="Calibri" w:eastAsia="Calibri" w:hAnsi="Calibri" w:cs="Calibri"/>
      <w:b/>
      <w:sz w:val="72"/>
      <w:szCs w:val="72"/>
    </w:rPr>
  </w:style>
  <w:style w:type="character" w:customStyle="1" w:styleId="s1">
    <w:name w:val="s1"/>
    <w:basedOn w:val="DefaultParagraphFont"/>
    <w:rsid w:val="00F83C88"/>
  </w:style>
  <w:style w:type="paragraph" w:styleId="CommentSubject">
    <w:name w:val="annotation subject"/>
    <w:basedOn w:val="CommentText"/>
    <w:next w:val="CommentText"/>
    <w:link w:val="CommentSubjectChar"/>
    <w:uiPriority w:val="99"/>
    <w:semiHidden/>
    <w:unhideWhenUsed/>
    <w:rsid w:val="00B13C32"/>
    <w:rPr>
      <w:b/>
      <w:bCs/>
    </w:rPr>
  </w:style>
  <w:style w:type="character" w:customStyle="1" w:styleId="CommentSubjectChar">
    <w:name w:val="Comment Subject Char"/>
    <w:basedOn w:val="CommentTextChar"/>
    <w:link w:val="CommentSubject"/>
    <w:uiPriority w:val="99"/>
    <w:semiHidden/>
    <w:rsid w:val="00B13C32"/>
    <w:rPr>
      <w:b/>
      <w:bCs/>
      <w:sz w:val="20"/>
      <w:szCs w:val="20"/>
    </w:rPr>
  </w:style>
  <w:style w:type="paragraph" w:styleId="Revision">
    <w:name w:val="Revision"/>
    <w:hidden/>
    <w:uiPriority w:val="99"/>
    <w:semiHidden/>
    <w:rsid w:val="005627AF"/>
    <w:pPr>
      <w:spacing w:after="0" w:line="240" w:lineRule="auto"/>
    </w:pPr>
  </w:style>
  <w:style w:type="paragraph" w:customStyle="1" w:styleId="p1">
    <w:name w:val="p1"/>
    <w:basedOn w:val="Normal"/>
    <w:rsid w:val="005336CD"/>
    <w:pPr>
      <w:spacing w:after="0" w:line="240" w:lineRule="auto"/>
    </w:pPr>
    <w:rPr>
      <w:rFonts w:ascii="Arial" w:eastAsia="Times New Roman" w:hAnsi="Arial" w:cs="Arial"/>
      <w:lang w:eastAsia="zh-CN"/>
    </w:rPr>
  </w:style>
  <w:style w:type="character" w:customStyle="1" w:styleId="bodytext">
    <w:name w:val="bodytext"/>
    <w:basedOn w:val="DefaultParagraphFont"/>
    <w:rsid w:val="00E7068D"/>
  </w:style>
  <w:style w:type="paragraph" w:customStyle="1" w:styleId="paragraph">
    <w:name w:val="paragraph"/>
    <w:basedOn w:val="Normal"/>
    <w:rsid w:val="00E45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457D9"/>
  </w:style>
  <w:style w:type="character" w:customStyle="1" w:styleId="eop">
    <w:name w:val="eop"/>
    <w:basedOn w:val="DefaultParagraphFont"/>
    <w:rsid w:val="00E457D9"/>
  </w:style>
  <w:style w:type="paragraph" w:styleId="Header">
    <w:name w:val="header"/>
    <w:basedOn w:val="Normal"/>
    <w:link w:val="HeaderChar"/>
    <w:uiPriority w:val="99"/>
    <w:unhideWhenUsed/>
    <w:rsid w:val="00013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C9F"/>
  </w:style>
  <w:style w:type="paragraph" w:styleId="Footer">
    <w:name w:val="footer"/>
    <w:basedOn w:val="Normal"/>
    <w:link w:val="FooterChar"/>
    <w:uiPriority w:val="99"/>
    <w:unhideWhenUsed/>
    <w:rsid w:val="00013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C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39925">
      <w:bodyDiv w:val="1"/>
      <w:marLeft w:val="0"/>
      <w:marRight w:val="0"/>
      <w:marTop w:val="0"/>
      <w:marBottom w:val="0"/>
      <w:divBdr>
        <w:top w:val="none" w:sz="0" w:space="0" w:color="auto"/>
        <w:left w:val="none" w:sz="0" w:space="0" w:color="auto"/>
        <w:bottom w:val="none" w:sz="0" w:space="0" w:color="auto"/>
        <w:right w:val="none" w:sz="0" w:space="0" w:color="auto"/>
      </w:divBdr>
    </w:div>
    <w:div w:id="453865681">
      <w:bodyDiv w:val="1"/>
      <w:marLeft w:val="0"/>
      <w:marRight w:val="0"/>
      <w:marTop w:val="0"/>
      <w:marBottom w:val="0"/>
      <w:divBdr>
        <w:top w:val="none" w:sz="0" w:space="0" w:color="auto"/>
        <w:left w:val="none" w:sz="0" w:space="0" w:color="auto"/>
        <w:bottom w:val="none" w:sz="0" w:space="0" w:color="auto"/>
        <w:right w:val="none" w:sz="0" w:space="0" w:color="auto"/>
      </w:divBdr>
    </w:div>
    <w:div w:id="583729874">
      <w:bodyDiv w:val="1"/>
      <w:marLeft w:val="0"/>
      <w:marRight w:val="0"/>
      <w:marTop w:val="0"/>
      <w:marBottom w:val="0"/>
      <w:divBdr>
        <w:top w:val="none" w:sz="0" w:space="0" w:color="auto"/>
        <w:left w:val="none" w:sz="0" w:space="0" w:color="auto"/>
        <w:bottom w:val="none" w:sz="0" w:space="0" w:color="auto"/>
        <w:right w:val="none" w:sz="0" w:space="0" w:color="auto"/>
      </w:divBdr>
    </w:div>
    <w:div w:id="612907921">
      <w:bodyDiv w:val="1"/>
      <w:marLeft w:val="0"/>
      <w:marRight w:val="0"/>
      <w:marTop w:val="0"/>
      <w:marBottom w:val="0"/>
      <w:divBdr>
        <w:top w:val="none" w:sz="0" w:space="0" w:color="auto"/>
        <w:left w:val="none" w:sz="0" w:space="0" w:color="auto"/>
        <w:bottom w:val="none" w:sz="0" w:space="0" w:color="auto"/>
        <w:right w:val="none" w:sz="0" w:space="0" w:color="auto"/>
      </w:divBdr>
    </w:div>
    <w:div w:id="1196115635">
      <w:bodyDiv w:val="1"/>
      <w:marLeft w:val="0"/>
      <w:marRight w:val="0"/>
      <w:marTop w:val="0"/>
      <w:marBottom w:val="0"/>
      <w:divBdr>
        <w:top w:val="none" w:sz="0" w:space="0" w:color="auto"/>
        <w:left w:val="none" w:sz="0" w:space="0" w:color="auto"/>
        <w:bottom w:val="none" w:sz="0" w:space="0" w:color="auto"/>
        <w:right w:val="none" w:sz="0" w:space="0" w:color="auto"/>
      </w:divBdr>
      <w:divsChild>
        <w:div w:id="1874339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568715">
              <w:marLeft w:val="0"/>
              <w:marRight w:val="0"/>
              <w:marTop w:val="0"/>
              <w:marBottom w:val="0"/>
              <w:divBdr>
                <w:top w:val="none" w:sz="0" w:space="0" w:color="auto"/>
                <w:left w:val="none" w:sz="0" w:space="0" w:color="auto"/>
                <w:bottom w:val="none" w:sz="0" w:space="0" w:color="auto"/>
                <w:right w:val="none" w:sz="0" w:space="0" w:color="auto"/>
              </w:divBdr>
              <w:divsChild>
                <w:div w:id="755789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574540">
                      <w:marLeft w:val="0"/>
                      <w:marRight w:val="0"/>
                      <w:marTop w:val="0"/>
                      <w:marBottom w:val="0"/>
                      <w:divBdr>
                        <w:top w:val="none" w:sz="0" w:space="0" w:color="auto"/>
                        <w:left w:val="none" w:sz="0" w:space="0" w:color="auto"/>
                        <w:bottom w:val="none" w:sz="0" w:space="0" w:color="auto"/>
                        <w:right w:val="none" w:sz="0" w:space="0" w:color="auto"/>
                      </w:divBdr>
                      <w:divsChild>
                        <w:div w:id="1232810415">
                          <w:marLeft w:val="0"/>
                          <w:marRight w:val="0"/>
                          <w:marTop w:val="0"/>
                          <w:marBottom w:val="0"/>
                          <w:divBdr>
                            <w:top w:val="none" w:sz="0" w:space="0" w:color="auto"/>
                            <w:left w:val="none" w:sz="0" w:space="0" w:color="auto"/>
                            <w:bottom w:val="none" w:sz="0" w:space="0" w:color="auto"/>
                            <w:right w:val="none" w:sz="0" w:space="0" w:color="auto"/>
                          </w:divBdr>
                          <w:divsChild>
                            <w:div w:id="7252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464290">
      <w:bodyDiv w:val="1"/>
      <w:marLeft w:val="0"/>
      <w:marRight w:val="0"/>
      <w:marTop w:val="0"/>
      <w:marBottom w:val="0"/>
      <w:divBdr>
        <w:top w:val="none" w:sz="0" w:space="0" w:color="auto"/>
        <w:left w:val="none" w:sz="0" w:space="0" w:color="auto"/>
        <w:bottom w:val="none" w:sz="0" w:space="0" w:color="auto"/>
        <w:right w:val="none" w:sz="0" w:space="0" w:color="auto"/>
      </w:divBdr>
    </w:div>
    <w:div w:id="1358389140">
      <w:bodyDiv w:val="1"/>
      <w:marLeft w:val="0"/>
      <w:marRight w:val="0"/>
      <w:marTop w:val="0"/>
      <w:marBottom w:val="0"/>
      <w:divBdr>
        <w:top w:val="none" w:sz="0" w:space="0" w:color="auto"/>
        <w:left w:val="none" w:sz="0" w:space="0" w:color="auto"/>
        <w:bottom w:val="none" w:sz="0" w:space="0" w:color="auto"/>
        <w:right w:val="none" w:sz="0" w:space="0" w:color="auto"/>
      </w:divBdr>
      <w:divsChild>
        <w:div w:id="1261453243">
          <w:marLeft w:val="0"/>
          <w:marRight w:val="0"/>
          <w:marTop w:val="0"/>
          <w:marBottom w:val="0"/>
          <w:divBdr>
            <w:top w:val="none" w:sz="0" w:space="0" w:color="auto"/>
            <w:left w:val="none" w:sz="0" w:space="0" w:color="auto"/>
            <w:bottom w:val="none" w:sz="0" w:space="0" w:color="auto"/>
            <w:right w:val="none" w:sz="0" w:space="0" w:color="auto"/>
          </w:divBdr>
        </w:div>
        <w:div w:id="294140276">
          <w:marLeft w:val="0"/>
          <w:marRight w:val="0"/>
          <w:marTop w:val="0"/>
          <w:marBottom w:val="0"/>
          <w:divBdr>
            <w:top w:val="none" w:sz="0" w:space="0" w:color="auto"/>
            <w:left w:val="none" w:sz="0" w:space="0" w:color="auto"/>
            <w:bottom w:val="none" w:sz="0" w:space="0" w:color="auto"/>
            <w:right w:val="none" w:sz="0" w:space="0" w:color="auto"/>
          </w:divBdr>
        </w:div>
        <w:div w:id="933053721">
          <w:marLeft w:val="0"/>
          <w:marRight w:val="0"/>
          <w:marTop w:val="0"/>
          <w:marBottom w:val="0"/>
          <w:divBdr>
            <w:top w:val="none" w:sz="0" w:space="0" w:color="auto"/>
            <w:left w:val="none" w:sz="0" w:space="0" w:color="auto"/>
            <w:bottom w:val="none" w:sz="0" w:space="0" w:color="auto"/>
            <w:right w:val="none" w:sz="0" w:space="0" w:color="auto"/>
          </w:divBdr>
        </w:div>
        <w:div w:id="1720930309">
          <w:marLeft w:val="0"/>
          <w:marRight w:val="0"/>
          <w:marTop w:val="0"/>
          <w:marBottom w:val="0"/>
          <w:divBdr>
            <w:top w:val="none" w:sz="0" w:space="0" w:color="auto"/>
            <w:left w:val="none" w:sz="0" w:space="0" w:color="auto"/>
            <w:bottom w:val="none" w:sz="0" w:space="0" w:color="auto"/>
            <w:right w:val="none" w:sz="0" w:space="0" w:color="auto"/>
          </w:divBdr>
        </w:div>
        <w:div w:id="1747336894">
          <w:marLeft w:val="0"/>
          <w:marRight w:val="0"/>
          <w:marTop w:val="0"/>
          <w:marBottom w:val="0"/>
          <w:divBdr>
            <w:top w:val="none" w:sz="0" w:space="0" w:color="auto"/>
            <w:left w:val="none" w:sz="0" w:space="0" w:color="auto"/>
            <w:bottom w:val="none" w:sz="0" w:space="0" w:color="auto"/>
            <w:right w:val="none" w:sz="0" w:space="0" w:color="auto"/>
          </w:divBdr>
        </w:div>
        <w:div w:id="611866526">
          <w:marLeft w:val="0"/>
          <w:marRight w:val="0"/>
          <w:marTop w:val="0"/>
          <w:marBottom w:val="0"/>
          <w:divBdr>
            <w:top w:val="none" w:sz="0" w:space="0" w:color="auto"/>
            <w:left w:val="none" w:sz="0" w:space="0" w:color="auto"/>
            <w:bottom w:val="none" w:sz="0" w:space="0" w:color="auto"/>
            <w:right w:val="none" w:sz="0" w:space="0" w:color="auto"/>
          </w:divBdr>
        </w:div>
        <w:div w:id="1485662164">
          <w:marLeft w:val="0"/>
          <w:marRight w:val="0"/>
          <w:marTop w:val="0"/>
          <w:marBottom w:val="0"/>
          <w:divBdr>
            <w:top w:val="none" w:sz="0" w:space="0" w:color="auto"/>
            <w:left w:val="none" w:sz="0" w:space="0" w:color="auto"/>
            <w:bottom w:val="none" w:sz="0" w:space="0" w:color="auto"/>
            <w:right w:val="none" w:sz="0" w:space="0" w:color="auto"/>
          </w:divBdr>
        </w:div>
        <w:div w:id="1626350792">
          <w:marLeft w:val="0"/>
          <w:marRight w:val="0"/>
          <w:marTop w:val="0"/>
          <w:marBottom w:val="0"/>
          <w:divBdr>
            <w:top w:val="none" w:sz="0" w:space="0" w:color="auto"/>
            <w:left w:val="none" w:sz="0" w:space="0" w:color="auto"/>
            <w:bottom w:val="none" w:sz="0" w:space="0" w:color="auto"/>
            <w:right w:val="none" w:sz="0" w:space="0" w:color="auto"/>
          </w:divBdr>
        </w:div>
        <w:div w:id="660430855">
          <w:marLeft w:val="0"/>
          <w:marRight w:val="0"/>
          <w:marTop w:val="0"/>
          <w:marBottom w:val="0"/>
          <w:divBdr>
            <w:top w:val="none" w:sz="0" w:space="0" w:color="auto"/>
            <w:left w:val="none" w:sz="0" w:space="0" w:color="auto"/>
            <w:bottom w:val="none" w:sz="0" w:space="0" w:color="auto"/>
            <w:right w:val="none" w:sz="0" w:space="0" w:color="auto"/>
          </w:divBdr>
        </w:div>
        <w:div w:id="32310889">
          <w:marLeft w:val="0"/>
          <w:marRight w:val="0"/>
          <w:marTop w:val="0"/>
          <w:marBottom w:val="0"/>
          <w:divBdr>
            <w:top w:val="none" w:sz="0" w:space="0" w:color="auto"/>
            <w:left w:val="none" w:sz="0" w:space="0" w:color="auto"/>
            <w:bottom w:val="none" w:sz="0" w:space="0" w:color="auto"/>
            <w:right w:val="none" w:sz="0" w:space="0" w:color="auto"/>
          </w:divBdr>
        </w:div>
        <w:div w:id="1958103506">
          <w:marLeft w:val="0"/>
          <w:marRight w:val="0"/>
          <w:marTop w:val="0"/>
          <w:marBottom w:val="0"/>
          <w:divBdr>
            <w:top w:val="none" w:sz="0" w:space="0" w:color="auto"/>
            <w:left w:val="none" w:sz="0" w:space="0" w:color="auto"/>
            <w:bottom w:val="none" w:sz="0" w:space="0" w:color="auto"/>
            <w:right w:val="none" w:sz="0" w:space="0" w:color="auto"/>
          </w:divBdr>
        </w:div>
        <w:div w:id="449667907">
          <w:marLeft w:val="0"/>
          <w:marRight w:val="0"/>
          <w:marTop w:val="0"/>
          <w:marBottom w:val="0"/>
          <w:divBdr>
            <w:top w:val="none" w:sz="0" w:space="0" w:color="auto"/>
            <w:left w:val="none" w:sz="0" w:space="0" w:color="auto"/>
            <w:bottom w:val="none" w:sz="0" w:space="0" w:color="auto"/>
            <w:right w:val="none" w:sz="0" w:space="0" w:color="auto"/>
          </w:divBdr>
        </w:div>
        <w:div w:id="410584270">
          <w:marLeft w:val="0"/>
          <w:marRight w:val="0"/>
          <w:marTop w:val="0"/>
          <w:marBottom w:val="0"/>
          <w:divBdr>
            <w:top w:val="none" w:sz="0" w:space="0" w:color="auto"/>
            <w:left w:val="none" w:sz="0" w:space="0" w:color="auto"/>
            <w:bottom w:val="none" w:sz="0" w:space="0" w:color="auto"/>
            <w:right w:val="none" w:sz="0" w:space="0" w:color="auto"/>
          </w:divBdr>
        </w:div>
        <w:div w:id="1731226576">
          <w:marLeft w:val="0"/>
          <w:marRight w:val="0"/>
          <w:marTop w:val="0"/>
          <w:marBottom w:val="0"/>
          <w:divBdr>
            <w:top w:val="none" w:sz="0" w:space="0" w:color="auto"/>
            <w:left w:val="none" w:sz="0" w:space="0" w:color="auto"/>
            <w:bottom w:val="none" w:sz="0" w:space="0" w:color="auto"/>
            <w:right w:val="none" w:sz="0" w:space="0" w:color="auto"/>
          </w:divBdr>
        </w:div>
        <w:div w:id="1172060727">
          <w:marLeft w:val="0"/>
          <w:marRight w:val="0"/>
          <w:marTop w:val="0"/>
          <w:marBottom w:val="0"/>
          <w:divBdr>
            <w:top w:val="none" w:sz="0" w:space="0" w:color="auto"/>
            <w:left w:val="none" w:sz="0" w:space="0" w:color="auto"/>
            <w:bottom w:val="none" w:sz="0" w:space="0" w:color="auto"/>
            <w:right w:val="none" w:sz="0" w:space="0" w:color="auto"/>
          </w:divBdr>
        </w:div>
        <w:div w:id="1648390241">
          <w:marLeft w:val="0"/>
          <w:marRight w:val="0"/>
          <w:marTop w:val="0"/>
          <w:marBottom w:val="0"/>
          <w:divBdr>
            <w:top w:val="none" w:sz="0" w:space="0" w:color="auto"/>
            <w:left w:val="none" w:sz="0" w:space="0" w:color="auto"/>
            <w:bottom w:val="none" w:sz="0" w:space="0" w:color="auto"/>
            <w:right w:val="none" w:sz="0" w:space="0" w:color="auto"/>
          </w:divBdr>
        </w:div>
        <w:div w:id="1672872799">
          <w:marLeft w:val="0"/>
          <w:marRight w:val="0"/>
          <w:marTop w:val="0"/>
          <w:marBottom w:val="0"/>
          <w:divBdr>
            <w:top w:val="none" w:sz="0" w:space="0" w:color="auto"/>
            <w:left w:val="none" w:sz="0" w:space="0" w:color="auto"/>
            <w:bottom w:val="none" w:sz="0" w:space="0" w:color="auto"/>
            <w:right w:val="none" w:sz="0" w:space="0" w:color="auto"/>
          </w:divBdr>
        </w:div>
        <w:div w:id="1575117555">
          <w:marLeft w:val="0"/>
          <w:marRight w:val="0"/>
          <w:marTop w:val="0"/>
          <w:marBottom w:val="0"/>
          <w:divBdr>
            <w:top w:val="none" w:sz="0" w:space="0" w:color="auto"/>
            <w:left w:val="none" w:sz="0" w:space="0" w:color="auto"/>
            <w:bottom w:val="none" w:sz="0" w:space="0" w:color="auto"/>
            <w:right w:val="none" w:sz="0" w:space="0" w:color="auto"/>
          </w:divBdr>
        </w:div>
        <w:div w:id="1016150115">
          <w:marLeft w:val="0"/>
          <w:marRight w:val="0"/>
          <w:marTop w:val="0"/>
          <w:marBottom w:val="0"/>
          <w:divBdr>
            <w:top w:val="none" w:sz="0" w:space="0" w:color="auto"/>
            <w:left w:val="none" w:sz="0" w:space="0" w:color="auto"/>
            <w:bottom w:val="none" w:sz="0" w:space="0" w:color="auto"/>
            <w:right w:val="none" w:sz="0" w:space="0" w:color="auto"/>
          </w:divBdr>
        </w:div>
        <w:div w:id="1156411842">
          <w:marLeft w:val="0"/>
          <w:marRight w:val="0"/>
          <w:marTop w:val="0"/>
          <w:marBottom w:val="0"/>
          <w:divBdr>
            <w:top w:val="none" w:sz="0" w:space="0" w:color="auto"/>
            <w:left w:val="none" w:sz="0" w:space="0" w:color="auto"/>
            <w:bottom w:val="none" w:sz="0" w:space="0" w:color="auto"/>
            <w:right w:val="none" w:sz="0" w:space="0" w:color="auto"/>
          </w:divBdr>
        </w:div>
        <w:div w:id="1289358833">
          <w:marLeft w:val="0"/>
          <w:marRight w:val="0"/>
          <w:marTop w:val="0"/>
          <w:marBottom w:val="0"/>
          <w:divBdr>
            <w:top w:val="none" w:sz="0" w:space="0" w:color="auto"/>
            <w:left w:val="none" w:sz="0" w:space="0" w:color="auto"/>
            <w:bottom w:val="none" w:sz="0" w:space="0" w:color="auto"/>
            <w:right w:val="none" w:sz="0" w:space="0" w:color="auto"/>
          </w:divBdr>
        </w:div>
        <w:div w:id="1827286692">
          <w:marLeft w:val="0"/>
          <w:marRight w:val="0"/>
          <w:marTop w:val="0"/>
          <w:marBottom w:val="0"/>
          <w:divBdr>
            <w:top w:val="none" w:sz="0" w:space="0" w:color="auto"/>
            <w:left w:val="none" w:sz="0" w:space="0" w:color="auto"/>
            <w:bottom w:val="none" w:sz="0" w:space="0" w:color="auto"/>
            <w:right w:val="none" w:sz="0" w:space="0" w:color="auto"/>
          </w:divBdr>
        </w:div>
        <w:div w:id="1853445619">
          <w:marLeft w:val="0"/>
          <w:marRight w:val="0"/>
          <w:marTop w:val="0"/>
          <w:marBottom w:val="0"/>
          <w:divBdr>
            <w:top w:val="none" w:sz="0" w:space="0" w:color="auto"/>
            <w:left w:val="none" w:sz="0" w:space="0" w:color="auto"/>
            <w:bottom w:val="none" w:sz="0" w:space="0" w:color="auto"/>
            <w:right w:val="none" w:sz="0" w:space="0" w:color="auto"/>
          </w:divBdr>
        </w:div>
        <w:div w:id="1576889853">
          <w:marLeft w:val="0"/>
          <w:marRight w:val="0"/>
          <w:marTop w:val="0"/>
          <w:marBottom w:val="0"/>
          <w:divBdr>
            <w:top w:val="none" w:sz="0" w:space="0" w:color="auto"/>
            <w:left w:val="none" w:sz="0" w:space="0" w:color="auto"/>
            <w:bottom w:val="none" w:sz="0" w:space="0" w:color="auto"/>
            <w:right w:val="none" w:sz="0" w:space="0" w:color="auto"/>
          </w:divBdr>
        </w:div>
        <w:div w:id="613288456">
          <w:marLeft w:val="0"/>
          <w:marRight w:val="0"/>
          <w:marTop w:val="0"/>
          <w:marBottom w:val="0"/>
          <w:divBdr>
            <w:top w:val="none" w:sz="0" w:space="0" w:color="auto"/>
            <w:left w:val="none" w:sz="0" w:space="0" w:color="auto"/>
            <w:bottom w:val="none" w:sz="0" w:space="0" w:color="auto"/>
            <w:right w:val="none" w:sz="0" w:space="0" w:color="auto"/>
          </w:divBdr>
        </w:div>
        <w:div w:id="1885019939">
          <w:marLeft w:val="0"/>
          <w:marRight w:val="0"/>
          <w:marTop w:val="0"/>
          <w:marBottom w:val="0"/>
          <w:divBdr>
            <w:top w:val="none" w:sz="0" w:space="0" w:color="auto"/>
            <w:left w:val="none" w:sz="0" w:space="0" w:color="auto"/>
            <w:bottom w:val="none" w:sz="0" w:space="0" w:color="auto"/>
            <w:right w:val="none" w:sz="0" w:space="0" w:color="auto"/>
          </w:divBdr>
        </w:div>
        <w:div w:id="630945341">
          <w:marLeft w:val="0"/>
          <w:marRight w:val="0"/>
          <w:marTop w:val="0"/>
          <w:marBottom w:val="0"/>
          <w:divBdr>
            <w:top w:val="none" w:sz="0" w:space="0" w:color="auto"/>
            <w:left w:val="none" w:sz="0" w:space="0" w:color="auto"/>
            <w:bottom w:val="none" w:sz="0" w:space="0" w:color="auto"/>
            <w:right w:val="none" w:sz="0" w:space="0" w:color="auto"/>
          </w:divBdr>
        </w:div>
        <w:div w:id="510224810">
          <w:marLeft w:val="0"/>
          <w:marRight w:val="0"/>
          <w:marTop w:val="0"/>
          <w:marBottom w:val="0"/>
          <w:divBdr>
            <w:top w:val="none" w:sz="0" w:space="0" w:color="auto"/>
            <w:left w:val="none" w:sz="0" w:space="0" w:color="auto"/>
            <w:bottom w:val="none" w:sz="0" w:space="0" w:color="auto"/>
            <w:right w:val="none" w:sz="0" w:space="0" w:color="auto"/>
          </w:divBdr>
        </w:div>
        <w:div w:id="958218761">
          <w:marLeft w:val="0"/>
          <w:marRight w:val="0"/>
          <w:marTop w:val="0"/>
          <w:marBottom w:val="0"/>
          <w:divBdr>
            <w:top w:val="none" w:sz="0" w:space="0" w:color="auto"/>
            <w:left w:val="none" w:sz="0" w:space="0" w:color="auto"/>
            <w:bottom w:val="none" w:sz="0" w:space="0" w:color="auto"/>
            <w:right w:val="none" w:sz="0" w:space="0" w:color="auto"/>
          </w:divBdr>
        </w:div>
        <w:div w:id="1895922140">
          <w:marLeft w:val="0"/>
          <w:marRight w:val="0"/>
          <w:marTop w:val="0"/>
          <w:marBottom w:val="0"/>
          <w:divBdr>
            <w:top w:val="none" w:sz="0" w:space="0" w:color="auto"/>
            <w:left w:val="none" w:sz="0" w:space="0" w:color="auto"/>
            <w:bottom w:val="none" w:sz="0" w:space="0" w:color="auto"/>
            <w:right w:val="none" w:sz="0" w:space="0" w:color="auto"/>
          </w:divBdr>
        </w:div>
        <w:div w:id="149518654">
          <w:marLeft w:val="0"/>
          <w:marRight w:val="0"/>
          <w:marTop w:val="0"/>
          <w:marBottom w:val="0"/>
          <w:divBdr>
            <w:top w:val="none" w:sz="0" w:space="0" w:color="auto"/>
            <w:left w:val="none" w:sz="0" w:space="0" w:color="auto"/>
            <w:bottom w:val="none" w:sz="0" w:space="0" w:color="auto"/>
            <w:right w:val="none" w:sz="0" w:space="0" w:color="auto"/>
          </w:divBdr>
        </w:div>
        <w:div w:id="1908689773">
          <w:marLeft w:val="0"/>
          <w:marRight w:val="0"/>
          <w:marTop w:val="0"/>
          <w:marBottom w:val="0"/>
          <w:divBdr>
            <w:top w:val="none" w:sz="0" w:space="0" w:color="auto"/>
            <w:left w:val="none" w:sz="0" w:space="0" w:color="auto"/>
            <w:bottom w:val="none" w:sz="0" w:space="0" w:color="auto"/>
            <w:right w:val="none" w:sz="0" w:space="0" w:color="auto"/>
          </w:divBdr>
        </w:div>
        <w:div w:id="919412829">
          <w:marLeft w:val="0"/>
          <w:marRight w:val="0"/>
          <w:marTop w:val="0"/>
          <w:marBottom w:val="0"/>
          <w:divBdr>
            <w:top w:val="none" w:sz="0" w:space="0" w:color="auto"/>
            <w:left w:val="none" w:sz="0" w:space="0" w:color="auto"/>
            <w:bottom w:val="none" w:sz="0" w:space="0" w:color="auto"/>
            <w:right w:val="none" w:sz="0" w:space="0" w:color="auto"/>
          </w:divBdr>
        </w:div>
        <w:div w:id="530803501">
          <w:marLeft w:val="0"/>
          <w:marRight w:val="0"/>
          <w:marTop w:val="0"/>
          <w:marBottom w:val="0"/>
          <w:divBdr>
            <w:top w:val="none" w:sz="0" w:space="0" w:color="auto"/>
            <w:left w:val="none" w:sz="0" w:space="0" w:color="auto"/>
            <w:bottom w:val="none" w:sz="0" w:space="0" w:color="auto"/>
            <w:right w:val="none" w:sz="0" w:space="0" w:color="auto"/>
          </w:divBdr>
        </w:div>
        <w:div w:id="853347535">
          <w:marLeft w:val="0"/>
          <w:marRight w:val="0"/>
          <w:marTop w:val="0"/>
          <w:marBottom w:val="0"/>
          <w:divBdr>
            <w:top w:val="none" w:sz="0" w:space="0" w:color="auto"/>
            <w:left w:val="none" w:sz="0" w:space="0" w:color="auto"/>
            <w:bottom w:val="none" w:sz="0" w:space="0" w:color="auto"/>
            <w:right w:val="none" w:sz="0" w:space="0" w:color="auto"/>
          </w:divBdr>
        </w:div>
        <w:div w:id="1751612718">
          <w:marLeft w:val="0"/>
          <w:marRight w:val="0"/>
          <w:marTop w:val="0"/>
          <w:marBottom w:val="0"/>
          <w:divBdr>
            <w:top w:val="none" w:sz="0" w:space="0" w:color="auto"/>
            <w:left w:val="none" w:sz="0" w:space="0" w:color="auto"/>
            <w:bottom w:val="none" w:sz="0" w:space="0" w:color="auto"/>
            <w:right w:val="none" w:sz="0" w:space="0" w:color="auto"/>
          </w:divBdr>
        </w:div>
        <w:div w:id="2142652702">
          <w:marLeft w:val="0"/>
          <w:marRight w:val="0"/>
          <w:marTop w:val="0"/>
          <w:marBottom w:val="0"/>
          <w:divBdr>
            <w:top w:val="none" w:sz="0" w:space="0" w:color="auto"/>
            <w:left w:val="none" w:sz="0" w:space="0" w:color="auto"/>
            <w:bottom w:val="none" w:sz="0" w:space="0" w:color="auto"/>
            <w:right w:val="none" w:sz="0" w:space="0" w:color="auto"/>
          </w:divBdr>
        </w:div>
        <w:div w:id="624312806">
          <w:marLeft w:val="0"/>
          <w:marRight w:val="0"/>
          <w:marTop w:val="0"/>
          <w:marBottom w:val="0"/>
          <w:divBdr>
            <w:top w:val="none" w:sz="0" w:space="0" w:color="auto"/>
            <w:left w:val="none" w:sz="0" w:space="0" w:color="auto"/>
            <w:bottom w:val="none" w:sz="0" w:space="0" w:color="auto"/>
            <w:right w:val="none" w:sz="0" w:space="0" w:color="auto"/>
          </w:divBdr>
        </w:div>
        <w:div w:id="787243084">
          <w:marLeft w:val="0"/>
          <w:marRight w:val="0"/>
          <w:marTop w:val="0"/>
          <w:marBottom w:val="0"/>
          <w:divBdr>
            <w:top w:val="none" w:sz="0" w:space="0" w:color="auto"/>
            <w:left w:val="none" w:sz="0" w:space="0" w:color="auto"/>
            <w:bottom w:val="none" w:sz="0" w:space="0" w:color="auto"/>
            <w:right w:val="none" w:sz="0" w:space="0" w:color="auto"/>
          </w:divBdr>
        </w:div>
        <w:div w:id="2028556335">
          <w:marLeft w:val="0"/>
          <w:marRight w:val="0"/>
          <w:marTop w:val="0"/>
          <w:marBottom w:val="0"/>
          <w:divBdr>
            <w:top w:val="none" w:sz="0" w:space="0" w:color="auto"/>
            <w:left w:val="none" w:sz="0" w:space="0" w:color="auto"/>
            <w:bottom w:val="none" w:sz="0" w:space="0" w:color="auto"/>
            <w:right w:val="none" w:sz="0" w:space="0" w:color="auto"/>
          </w:divBdr>
        </w:div>
        <w:div w:id="684668315">
          <w:marLeft w:val="0"/>
          <w:marRight w:val="0"/>
          <w:marTop w:val="0"/>
          <w:marBottom w:val="0"/>
          <w:divBdr>
            <w:top w:val="none" w:sz="0" w:space="0" w:color="auto"/>
            <w:left w:val="none" w:sz="0" w:space="0" w:color="auto"/>
            <w:bottom w:val="none" w:sz="0" w:space="0" w:color="auto"/>
            <w:right w:val="none" w:sz="0" w:space="0" w:color="auto"/>
          </w:divBdr>
        </w:div>
        <w:div w:id="8337417">
          <w:marLeft w:val="0"/>
          <w:marRight w:val="0"/>
          <w:marTop w:val="0"/>
          <w:marBottom w:val="0"/>
          <w:divBdr>
            <w:top w:val="none" w:sz="0" w:space="0" w:color="auto"/>
            <w:left w:val="none" w:sz="0" w:space="0" w:color="auto"/>
            <w:bottom w:val="none" w:sz="0" w:space="0" w:color="auto"/>
            <w:right w:val="none" w:sz="0" w:space="0" w:color="auto"/>
          </w:divBdr>
        </w:div>
        <w:div w:id="1486778937">
          <w:marLeft w:val="0"/>
          <w:marRight w:val="0"/>
          <w:marTop w:val="0"/>
          <w:marBottom w:val="0"/>
          <w:divBdr>
            <w:top w:val="none" w:sz="0" w:space="0" w:color="auto"/>
            <w:left w:val="none" w:sz="0" w:space="0" w:color="auto"/>
            <w:bottom w:val="none" w:sz="0" w:space="0" w:color="auto"/>
            <w:right w:val="none" w:sz="0" w:space="0" w:color="auto"/>
          </w:divBdr>
        </w:div>
        <w:div w:id="254749837">
          <w:marLeft w:val="0"/>
          <w:marRight w:val="0"/>
          <w:marTop w:val="0"/>
          <w:marBottom w:val="0"/>
          <w:divBdr>
            <w:top w:val="none" w:sz="0" w:space="0" w:color="auto"/>
            <w:left w:val="none" w:sz="0" w:space="0" w:color="auto"/>
            <w:bottom w:val="none" w:sz="0" w:space="0" w:color="auto"/>
            <w:right w:val="none" w:sz="0" w:space="0" w:color="auto"/>
          </w:divBdr>
        </w:div>
        <w:div w:id="677541686">
          <w:marLeft w:val="0"/>
          <w:marRight w:val="0"/>
          <w:marTop w:val="0"/>
          <w:marBottom w:val="0"/>
          <w:divBdr>
            <w:top w:val="none" w:sz="0" w:space="0" w:color="auto"/>
            <w:left w:val="none" w:sz="0" w:space="0" w:color="auto"/>
            <w:bottom w:val="none" w:sz="0" w:space="0" w:color="auto"/>
            <w:right w:val="none" w:sz="0" w:space="0" w:color="auto"/>
          </w:divBdr>
        </w:div>
        <w:div w:id="1802570390">
          <w:marLeft w:val="0"/>
          <w:marRight w:val="0"/>
          <w:marTop w:val="0"/>
          <w:marBottom w:val="0"/>
          <w:divBdr>
            <w:top w:val="none" w:sz="0" w:space="0" w:color="auto"/>
            <w:left w:val="none" w:sz="0" w:space="0" w:color="auto"/>
            <w:bottom w:val="none" w:sz="0" w:space="0" w:color="auto"/>
            <w:right w:val="none" w:sz="0" w:space="0" w:color="auto"/>
          </w:divBdr>
        </w:div>
        <w:div w:id="480511105">
          <w:marLeft w:val="0"/>
          <w:marRight w:val="0"/>
          <w:marTop w:val="0"/>
          <w:marBottom w:val="0"/>
          <w:divBdr>
            <w:top w:val="none" w:sz="0" w:space="0" w:color="auto"/>
            <w:left w:val="none" w:sz="0" w:space="0" w:color="auto"/>
            <w:bottom w:val="none" w:sz="0" w:space="0" w:color="auto"/>
            <w:right w:val="none" w:sz="0" w:space="0" w:color="auto"/>
          </w:divBdr>
        </w:div>
        <w:div w:id="1456559966">
          <w:marLeft w:val="0"/>
          <w:marRight w:val="0"/>
          <w:marTop w:val="0"/>
          <w:marBottom w:val="0"/>
          <w:divBdr>
            <w:top w:val="none" w:sz="0" w:space="0" w:color="auto"/>
            <w:left w:val="none" w:sz="0" w:space="0" w:color="auto"/>
            <w:bottom w:val="none" w:sz="0" w:space="0" w:color="auto"/>
            <w:right w:val="none" w:sz="0" w:space="0" w:color="auto"/>
          </w:divBdr>
        </w:div>
        <w:div w:id="1682471467">
          <w:marLeft w:val="0"/>
          <w:marRight w:val="0"/>
          <w:marTop w:val="0"/>
          <w:marBottom w:val="0"/>
          <w:divBdr>
            <w:top w:val="none" w:sz="0" w:space="0" w:color="auto"/>
            <w:left w:val="none" w:sz="0" w:space="0" w:color="auto"/>
            <w:bottom w:val="none" w:sz="0" w:space="0" w:color="auto"/>
            <w:right w:val="none" w:sz="0" w:space="0" w:color="auto"/>
          </w:divBdr>
        </w:div>
        <w:div w:id="1864399542">
          <w:marLeft w:val="0"/>
          <w:marRight w:val="0"/>
          <w:marTop w:val="0"/>
          <w:marBottom w:val="0"/>
          <w:divBdr>
            <w:top w:val="none" w:sz="0" w:space="0" w:color="auto"/>
            <w:left w:val="none" w:sz="0" w:space="0" w:color="auto"/>
            <w:bottom w:val="none" w:sz="0" w:space="0" w:color="auto"/>
            <w:right w:val="none" w:sz="0" w:space="0" w:color="auto"/>
          </w:divBdr>
        </w:div>
        <w:div w:id="887304487">
          <w:marLeft w:val="0"/>
          <w:marRight w:val="0"/>
          <w:marTop w:val="0"/>
          <w:marBottom w:val="0"/>
          <w:divBdr>
            <w:top w:val="none" w:sz="0" w:space="0" w:color="auto"/>
            <w:left w:val="none" w:sz="0" w:space="0" w:color="auto"/>
            <w:bottom w:val="none" w:sz="0" w:space="0" w:color="auto"/>
            <w:right w:val="none" w:sz="0" w:space="0" w:color="auto"/>
          </w:divBdr>
        </w:div>
        <w:div w:id="1316759885">
          <w:marLeft w:val="0"/>
          <w:marRight w:val="0"/>
          <w:marTop w:val="0"/>
          <w:marBottom w:val="0"/>
          <w:divBdr>
            <w:top w:val="none" w:sz="0" w:space="0" w:color="auto"/>
            <w:left w:val="none" w:sz="0" w:space="0" w:color="auto"/>
            <w:bottom w:val="none" w:sz="0" w:space="0" w:color="auto"/>
            <w:right w:val="none" w:sz="0" w:space="0" w:color="auto"/>
          </w:divBdr>
        </w:div>
        <w:div w:id="212693073">
          <w:marLeft w:val="0"/>
          <w:marRight w:val="0"/>
          <w:marTop w:val="0"/>
          <w:marBottom w:val="0"/>
          <w:divBdr>
            <w:top w:val="none" w:sz="0" w:space="0" w:color="auto"/>
            <w:left w:val="none" w:sz="0" w:space="0" w:color="auto"/>
            <w:bottom w:val="none" w:sz="0" w:space="0" w:color="auto"/>
            <w:right w:val="none" w:sz="0" w:space="0" w:color="auto"/>
          </w:divBdr>
        </w:div>
        <w:div w:id="2000381995">
          <w:marLeft w:val="0"/>
          <w:marRight w:val="0"/>
          <w:marTop w:val="0"/>
          <w:marBottom w:val="0"/>
          <w:divBdr>
            <w:top w:val="none" w:sz="0" w:space="0" w:color="auto"/>
            <w:left w:val="none" w:sz="0" w:space="0" w:color="auto"/>
            <w:bottom w:val="none" w:sz="0" w:space="0" w:color="auto"/>
            <w:right w:val="none" w:sz="0" w:space="0" w:color="auto"/>
          </w:divBdr>
        </w:div>
        <w:div w:id="1351104872">
          <w:marLeft w:val="0"/>
          <w:marRight w:val="0"/>
          <w:marTop w:val="0"/>
          <w:marBottom w:val="0"/>
          <w:divBdr>
            <w:top w:val="none" w:sz="0" w:space="0" w:color="auto"/>
            <w:left w:val="none" w:sz="0" w:space="0" w:color="auto"/>
            <w:bottom w:val="none" w:sz="0" w:space="0" w:color="auto"/>
            <w:right w:val="none" w:sz="0" w:space="0" w:color="auto"/>
          </w:divBdr>
        </w:div>
        <w:div w:id="1480344458">
          <w:marLeft w:val="0"/>
          <w:marRight w:val="0"/>
          <w:marTop w:val="0"/>
          <w:marBottom w:val="0"/>
          <w:divBdr>
            <w:top w:val="none" w:sz="0" w:space="0" w:color="auto"/>
            <w:left w:val="none" w:sz="0" w:space="0" w:color="auto"/>
            <w:bottom w:val="none" w:sz="0" w:space="0" w:color="auto"/>
            <w:right w:val="none" w:sz="0" w:space="0" w:color="auto"/>
          </w:divBdr>
        </w:div>
        <w:div w:id="393162992">
          <w:marLeft w:val="0"/>
          <w:marRight w:val="0"/>
          <w:marTop w:val="0"/>
          <w:marBottom w:val="0"/>
          <w:divBdr>
            <w:top w:val="none" w:sz="0" w:space="0" w:color="auto"/>
            <w:left w:val="none" w:sz="0" w:space="0" w:color="auto"/>
            <w:bottom w:val="none" w:sz="0" w:space="0" w:color="auto"/>
            <w:right w:val="none" w:sz="0" w:space="0" w:color="auto"/>
          </w:divBdr>
        </w:div>
        <w:div w:id="2015916087">
          <w:marLeft w:val="0"/>
          <w:marRight w:val="0"/>
          <w:marTop w:val="0"/>
          <w:marBottom w:val="0"/>
          <w:divBdr>
            <w:top w:val="none" w:sz="0" w:space="0" w:color="auto"/>
            <w:left w:val="none" w:sz="0" w:space="0" w:color="auto"/>
            <w:bottom w:val="none" w:sz="0" w:space="0" w:color="auto"/>
            <w:right w:val="none" w:sz="0" w:space="0" w:color="auto"/>
          </w:divBdr>
        </w:div>
        <w:div w:id="369574927">
          <w:marLeft w:val="0"/>
          <w:marRight w:val="0"/>
          <w:marTop w:val="0"/>
          <w:marBottom w:val="0"/>
          <w:divBdr>
            <w:top w:val="none" w:sz="0" w:space="0" w:color="auto"/>
            <w:left w:val="none" w:sz="0" w:space="0" w:color="auto"/>
            <w:bottom w:val="none" w:sz="0" w:space="0" w:color="auto"/>
            <w:right w:val="none" w:sz="0" w:space="0" w:color="auto"/>
          </w:divBdr>
        </w:div>
        <w:div w:id="472410737">
          <w:marLeft w:val="0"/>
          <w:marRight w:val="0"/>
          <w:marTop w:val="0"/>
          <w:marBottom w:val="0"/>
          <w:divBdr>
            <w:top w:val="none" w:sz="0" w:space="0" w:color="auto"/>
            <w:left w:val="none" w:sz="0" w:space="0" w:color="auto"/>
            <w:bottom w:val="none" w:sz="0" w:space="0" w:color="auto"/>
            <w:right w:val="none" w:sz="0" w:space="0" w:color="auto"/>
          </w:divBdr>
        </w:div>
        <w:div w:id="524681771">
          <w:marLeft w:val="0"/>
          <w:marRight w:val="0"/>
          <w:marTop w:val="0"/>
          <w:marBottom w:val="0"/>
          <w:divBdr>
            <w:top w:val="none" w:sz="0" w:space="0" w:color="auto"/>
            <w:left w:val="none" w:sz="0" w:space="0" w:color="auto"/>
            <w:bottom w:val="none" w:sz="0" w:space="0" w:color="auto"/>
            <w:right w:val="none" w:sz="0" w:space="0" w:color="auto"/>
          </w:divBdr>
        </w:div>
        <w:div w:id="582221979">
          <w:marLeft w:val="0"/>
          <w:marRight w:val="0"/>
          <w:marTop w:val="0"/>
          <w:marBottom w:val="0"/>
          <w:divBdr>
            <w:top w:val="none" w:sz="0" w:space="0" w:color="auto"/>
            <w:left w:val="none" w:sz="0" w:space="0" w:color="auto"/>
            <w:bottom w:val="none" w:sz="0" w:space="0" w:color="auto"/>
            <w:right w:val="none" w:sz="0" w:space="0" w:color="auto"/>
          </w:divBdr>
        </w:div>
      </w:divsChild>
    </w:div>
    <w:div w:id="1814758960">
      <w:bodyDiv w:val="1"/>
      <w:marLeft w:val="0"/>
      <w:marRight w:val="0"/>
      <w:marTop w:val="0"/>
      <w:marBottom w:val="0"/>
      <w:divBdr>
        <w:top w:val="none" w:sz="0" w:space="0" w:color="auto"/>
        <w:left w:val="none" w:sz="0" w:space="0" w:color="auto"/>
        <w:bottom w:val="none" w:sz="0" w:space="0" w:color="auto"/>
        <w:right w:val="none" w:sz="0" w:space="0" w:color="auto"/>
      </w:divBdr>
    </w:div>
    <w:div w:id="192892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4C462EF6E9B94FB1BE98481616CEF7" ma:contentTypeVersion="14" ma:contentTypeDescription="Create a new document." ma:contentTypeScope="" ma:versionID="cb0954516154b3100f75fc07ff9e6607">
  <xsd:schema xmlns:xsd="http://www.w3.org/2001/XMLSchema" xmlns:xs="http://www.w3.org/2001/XMLSchema" xmlns:p="http://schemas.microsoft.com/office/2006/metadata/properties" xmlns:ns3="8e95c875-127a-4ffb-869a-92ceede14ba1" xmlns:ns4="905b0a6c-8461-4080-a2de-2908410f04ac" targetNamespace="http://schemas.microsoft.com/office/2006/metadata/properties" ma:root="true" ma:fieldsID="b14a1e886845c3dd1982aa2420af2fc4" ns3:_="" ns4:_="">
    <xsd:import namespace="8e95c875-127a-4ffb-869a-92ceede14ba1"/>
    <xsd:import namespace="905b0a6c-8461-4080-a2de-2908410f04a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5c875-127a-4ffb-869a-92ceede14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5b0a6c-8461-4080-a2de-2908410f04a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CEB501-8582-49A0-8D54-1C3E896FDA6F}">
  <ds:schemaRefs>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dcmitype/"/>
    <ds:schemaRef ds:uri="905b0a6c-8461-4080-a2de-2908410f04ac"/>
    <ds:schemaRef ds:uri="8e95c875-127a-4ffb-869a-92ceede14ba1"/>
    <ds:schemaRef ds:uri="http://purl.org/dc/terms/"/>
  </ds:schemaRefs>
</ds:datastoreItem>
</file>

<file path=customXml/itemProps2.xml><?xml version="1.0" encoding="utf-8"?>
<ds:datastoreItem xmlns:ds="http://schemas.openxmlformats.org/officeDocument/2006/customXml" ds:itemID="{63814691-181C-40A4-A6F5-54EFBCB36B55}">
  <ds:schemaRefs>
    <ds:schemaRef ds:uri="http://schemas.microsoft.com/sharepoint/v3/contenttype/forms"/>
  </ds:schemaRefs>
</ds:datastoreItem>
</file>

<file path=customXml/itemProps3.xml><?xml version="1.0" encoding="utf-8"?>
<ds:datastoreItem xmlns:ds="http://schemas.openxmlformats.org/officeDocument/2006/customXml" ds:itemID="{7C192C8F-656D-4178-B3FA-09A221769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95c875-127a-4ffb-869a-92ceede14ba1"/>
    <ds:schemaRef ds:uri="905b0a6c-8461-4080-a2de-2908410f04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8633</Words>
  <Characters>49214</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FAU Health Network Facilities and Resources</dc:title>
  <dc:subject/>
  <dc:creator>Alice Miehl</dc:creator>
  <cp:keywords/>
  <dc:description/>
  <cp:lastModifiedBy>Jay Morris</cp:lastModifiedBy>
  <cp:revision>5</cp:revision>
  <cp:lastPrinted>2022-05-24T17:22:00Z</cp:lastPrinted>
  <dcterms:created xsi:type="dcterms:W3CDTF">2022-08-17T12:58:00Z</dcterms:created>
  <dcterms:modified xsi:type="dcterms:W3CDTF">2022-08-17T20:03:00Z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0x010100354C462EF6E9B94FB1BE98481616CEF7</vt:lpwstr>
  </property>
  <property fmtid="{D5CDD505-2E9C-101B-9397-08002B2CF9AE}" pid="3" name="Order">
    <vt:r8>100</vt:r8>
  </property>
</Properties>
</file>