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A2C7" w14:textId="77777777" w:rsidR="008B6441" w:rsidRPr="00D66092" w:rsidRDefault="008B6441" w:rsidP="008B6441">
      <w:pPr>
        <w:spacing w:after="0"/>
        <w:ind w:left="720" w:righ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092">
        <w:rPr>
          <w:rFonts w:ascii="Arial" w:hAnsi="Arial" w:cs="Arial"/>
          <w:b/>
          <w:sz w:val="22"/>
          <w:szCs w:val="22"/>
        </w:rPr>
        <w:t xml:space="preserve">CHARLES E. SCHMIDT COLLEGE OF MEDICINE – </w:t>
      </w:r>
      <w:r w:rsidRPr="00D66092">
        <w:rPr>
          <w:rFonts w:ascii="Arial" w:hAnsi="Arial" w:cs="Arial"/>
          <w:b/>
          <w:color w:val="000000" w:themeColor="text1"/>
          <w:sz w:val="22"/>
          <w:szCs w:val="22"/>
        </w:rPr>
        <w:t>EQUIPMENT</w:t>
      </w:r>
    </w:p>
    <w:p w14:paraId="7605A73F" w14:textId="77777777" w:rsidR="008B6441" w:rsidRPr="00215DAF" w:rsidRDefault="008B6441" w:rsidP="008B6441">
      <w:pPr>
        <w:pStyle w:val="NoSpacing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</w:rPr>
        <w:t>Use what you need, this is only a template, tailor to your grant</w:t>
      </w:r>
    </w:p>
    <w:p w14:paraId="51EE1EEF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25AB30" w14:textId="77777777" w:rsidR="008B6441" w:rsidRPr="00993C92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993C92">
        <w:rPr>
          <w:rFonts w:ascii="Arial" w:hAnsi="Arial" w:cs="Arial"/>
          <w:b/>
          <w:sz w:val="22"/>
          <w:szCs w:val="22"/>
        </w:rPr>
        <w:t xml:space="preserve">FAU College of Medicine </w:t>
      </w:r>
      <w:r>
        <w:rPr>
          <w:rFonts w:ascii="Arial" w:hAnsi="Arial" w:cs="Arial"/>
          <w:b/>
          <w:sz w:val="22"/>
          <w:szCs w:val="22"/>
        </w:rPr>
        <w:t>Shared</w:t>
      </w:r>
      <w:r w:rsidRPr="00993C92">
        <w:rPr>
          <w:rFonts w:ascii="Arial" w:hAnsi="Arial" w:cs="Arial"/>
          <w:b/>
          <w:sz w:val="22"/>
          <w:szCs w:val="22"/>
        </w:rPr>
        <w:t xml:space="preserve"> Equipment. </w:t>
      </w:r>
      <w:r w:rsidRPr="00993C92">
        <w:rPr>
          <w:rFonts w:ascii="Arial" w:hAnsi="Arial" w:cs="Arial"/>
          <w:sz w:val="22"/>
          <w:szCs w:val="22"/>
        </w:rPr>
        <w:t xml:space="preserve">The College of Medicine provides state-of-the-art shared facilities and resources to support the research activities of their faculty and trainees. Located on the Boca Raton campus, the following shared </w:t>
      </w:r>
      <w:r>
        <w:rPr>
          <w:rFonts w:ascii="Arial" w:hAnsi="Arial" w:cs="Arial"/>
          <w:sz w:val="22"/>
          <w:szCs w:val="22"/>
        </w:rPr>
        <w:t>equipment is</w:t>
      </w:r>
      <w:r w:rsidRPr="00993C92">
        <w:rPr>
          <w:rFonts w:ascii="Arial" w:hAnsi="Arial" w:cs="Arial"/>
          <w:sz w:val="22"/>
          <w:szCs w:val="22"/>
        </w:rPr>
        <w:t xml:space="preserve"> available: </w:t>
      </w:r>
    </w:p>
    <w:p w14:paraId="3B252DA6" w14:textId="77777777" w:rsidR="008B6441" w:rsidRPr="00993C92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  <w:u w:val="single"/>
        </w:rPr>
      </w:pPr>
    </w:p>
    <w:p w14:paraId="1C5511A6" w14:textId="77777777" w:rsidR="008B6441" w:rsidRPr="00993C92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993C92">
        <w:rPr>
          <w:rFonts w:ascii="Arial" w:hAnsi="Arial" w:cs="Arial"/>
          <w:sz w:val="22"/>
          <w:szCs w:val="22"/>
          <w:u w:val="single"/>
        </w:rPr>
        <w:t>Induced Pluripotent Stem Cell (iPSC) Facility</w:t>
      </w:r>
      <w:r w:rsidRPr="00993C9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93C92">
        <w:rPr>
          <w:rFonts w:ascii="Arial" w:hAnsi="Arial" w:cs="Arial"/>
          <w:sz w:val="22"/>
          <w:szCs w:val="22"/>
        </w:rPr>
        <w:t>Sorvall</w:t>
      </w:r>
      <w:proofErr w:type="spellEnd"/>
      <w:r w:rsidRPr="00993C92">
        <w:rPr>
          <w:rFonts w:ascii="Arial" w:hAnsi="Arial" w:cs="Arial"/>
          <w:sz w:val="22"/>
          <w:szCs w:val="22"/>
        </w:rPr>
        <w:t xml:space="preserve"> Legend XIR centrifuge, Nikon Inverted Microscope, </w:t>
      </w:r>
      <w:proofErr w:type="spellStart"/>
      <w:r w:rsidRPr="00993C92">
        <w:rPr>
          <w:rFonts w:ascii="Arial" w:hAnsi="Arial" w:cs="Arial"/>
          <w:sz w:val="22"/>
          <w:szCs w:val="22"/>
        </w:rPr>
        <w:t>ThermoScientific</w:t>
      </w:r>
      <w:proofErr w:type="spellEnd"/>
      <w:r w:rsidRPr="00993C92">
        <w:rPr>
          <w:rFonts w:ascii="Arial" w:hAnsi="Arial" w:cs="Arial"/>
          <w:sz w:val="22"/>
          <w:szCs w:val="22"/>
        </w:rPr>
        <w:t xml:space="preserve"> CO</w:t>
      </w:r>
      <w:r w:rsidRPr="00993C92">
        <w:rPr>
          <w:rFonts w:ascii="Arial" w:hAnsi="Arial" w:cs="Arial"/>
          <w:sz w:val="22"/>
          <w:szCs w:val="22"/>
          <w:vertAlign w:val="subscript"/>
        </w:rPr>
        <w:t>2</w:t>
      </w:r>
      <w:r w:rsidRPr="00993C92">
        <w:rPr>
          <w:rFonts w:ascii="Arial" w:hAnsi="Arial" w:cs="Arial"/>
          <w:sz w:val="22"/>
          <w:szCs w:val="22"/>
        </w:rPr>
        <w:t xml:space="preserve"> incubators, Invitrogen neon transfectio</w:t>
      </w:r>
      <w:bookmarkStart w:id="0" w:name="_GoBack"/>
      <w:bookmarkEnd w:id="0"/>
      <w:r w:rsidRPr="00993C92">
        <w:rPr>
          <w:rFonts w:ascii="Arial" w:hAnsi="Arial" w:cs="Arial"/>
          <w:sz w:val="22"/>
          <w:szCs w:val="22"/>
        </w:rPr>
        <w:t>n system, Biological Safety Level-2 Cabinets, Revco -135 ultralow freezer</w:t>
      </w:r>
      <w:r>
        <w:rPr>
          <w:rFonts w:ascii="Arial" w:hAnsi="Arial" w:cs="Arial"/>
          <w:sz w:val="22"/>
          <w:szCs w:val="22"/>
        </w:rPr>
        <w:t>.</w:t>
      </w:r>
    </w:p>
    <w:p w14:paraId="0692C6B4" w14:textId="77777777" w:rsidR="008B6441" w:rsidRPr="00993C92" w:rsidRDefault="008B6441" w:rsidP="008B6441">
      <w:pPr>
        <w:pStyle w:val="ListParagraph"/>
        <w:widowControl w:val="0"/>
        <w:adjustRightInd w:val="0"/>
        <w:spacing w:after="0" w:line="240" w:lineRule="auto"/>
        <w:ind w:right="720"/>
        <w:jc w:val="both"/>
        <w:rPr>
          <w:rFonts w:ascii="Arial" w:hAnsi="Arial" w:cs="Arial"/>
        </w:rPr>
      </w:pPr>
    </w:p>
    <w:p w14:paraId="47DDA01C" w14:textId="77777777" w:rsidR="008B6441" w:rsidRPr="008B6441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993C92">
        <w:rPr>
          <w:rFonts w:ascii="Arial" w:hAnsi="Arial" w:cs="Arial"/>
          <w:sz w:val="22"/>
          <w:szCs w:val="22"/>
          <w:u w:val="single"/>
        </w:rPr>
        <w:t>Molecular Facility:</w:t>
      </w:r>
      <w:r w:rsidRPr="00993C92">
        <w:rPr>
          <w:rFonts w:ascii="Arial" w:hAnsi="Arial" w:cs="Arial"/>
          <w:b/>
          <w:sz w:val="22"/>
          <w:szCs w:val="22"/>
        </w:rPr>
        <w:t xml:space="preserve"> </w:t>
      </w:r>
      <w:r w:rsidRPr="00993C92">
        <w:rPr>
          <w:rFonts w:ascii="Arial" w:hAnsi="Arial" w:cs="Arial"/>
          <w:sz w:val="22"/>
          <w:szCs w:val="22"/>
        </w:rPr>
        <w:t>Two facilities offer two sets of the following equipment</w:t>
      </w:r>
      <w:r>
        <w:rPr>
          <w:rFonts w:ascii="Arial" w:hAnsi="Arial" w:cs="Arial"/>
          <w:sz w:val="22"/>
          <w:szCs w:val="22"/>
        </w:rPr>
        <w:t>:</w:t>
      </w:r>
      <w:r w:rsidRPr="00993C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Applied Biosystem </w:t>
      </w:r>
      <w:proofErr w:type="spellStart"/>
      <w:r>
        <w:rPr>
          <w:rFonts w:ascii="Arial" w:hAnsi="Arial" w:cs="Arial"/>
          <w:sz w:val="22"/>
          <w:szCs w:val="22"/>
        </w:rPr>
        <w:t>SimplyAmp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93C92">
        <w:rPr>
          <w:rFonts w:ascii="Arial" w:hAnsi="Arial" w:cs="Arial"/>
          <w:sz w:val="22"/>
          <w:szCs w:val="22"/>
        </w:rPr>
        <w:t xml:space="preserve">Thermocycler, Agilent </w:t>
      </w:r>
      <w:proofErr w:type="spellStart"/>
      <w:r w:rsidRPr="00993C92">
        <w:rPr>
          <w:rFonts w:ascii="Arial" w:hAnsi="Arial" w:cs="Arial"/>
          <w:sz w:val="22"/>
          <w:szCs w:val="22"/>
        </w:rPr>
        <w:t>AriaMX</w:t>
      </w:r>
      <w:proofErr w:type="spellEnd"/>
      <w:r w:rsidRPr="00993C92">
        <w:rPr>
          <w:rFonts w:ascii="Arial" w:hAnsi="Arial" w:cs="Arial"/>
          <w:sz w:val="22"/>
          <w:szCs w:val="22"/>
        </w:rPr>
        <w:t xml:space="preserve"> Real-Time PCR System, </w:t>
      </w:r>
      <w:proofErr w:type="spellStart"/>
      <w:r w:rsidRPr="00993C92">
        <w:rPr>
          <w:rFonts w:ascii="Arial" w:hAnsi="Arial" w:cs="Arial"/>
          <w:sz w:val="22"/>
          <w:szCs w:val="22"/>
        </w:rPr>
        <w:t>Vortexer</w:t>
      </w:r>
      <w:proofErr w:type="spellEnd"/>
      <w:r w:rsidRPr="00993C92">
        <w:rPr>
          <w:rFonts w:ascii="Arial" w:hAnsi="Arial" w:cs="Arial"/>
          <w:sz w:val="22"/>
          <w:szCs w:val="22"/>
        </w:rPr>
        <w:t xml:space="preserve">, MX300SP </w:t>
      </w:r>
      <w:proofErr w:type="spellStart"/>
      <w:r w:rsidRPr="008B6441">
        <w:rPr>
          <w:rFonts w:ascii="Arial" w:hAnsi="Arial" w:cs="Arial"/>
          <w:sz w:val="22"/>
          <w:szCs w:val="22"/>
        </w:rPr>
        <w:t>Stratagene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Q-PCR, Nanodrop ND 8000 Spectrophotometer, Agilent 2100 Bioanalyzer, </w:t>
      </w:r>
      <w:r w:rsidRPr="008B6441">
        <w:rPr>
          <w:rFonts w:ascii="Arial" w:hAnsi="Arial" w:cs="Arial"/>
        </w:rPr>
        <w:t xml:space="preserve">Agilent </w:t>
      </w:r>
      <w:proofErr w:type="spellStart"/>
      <w:r w:rsidRPr="008B6441">
        <w:rPr>
          <w:rFonts w:ascii="Arial" w:hAnsi="Arial" w:cs="Arial"/>
        </w:rPr>
        <w:t>Tapestation</w:t>
      </w:r>
      <w:proofErr w:type="spellEnd"/>
      <w:r w:rsidRPr="008B6441">
        <w:rPr>
          <w:rFonts w:ascii="Arial" w:hAnsi="Arial" w:cs="Arial"/>
        </w:rPr>
        <w:t xml:space="preserve">, </w:t>
      </w:r>
      <w:proofErr w:type="spellStart"/>
      <w:r w:rsidRPr="008B6441">
        <w:rPr>
          <w:rFonts w:ascii="Arial" w:hAnsi="Arial" w:cs="Arial"/>
        </w:rPr>
        <w:t>Microbeta</w:t>
      </w:r>
      <w:proofErr w:type="spellEnd"/>
      <w:r w:rsidRPr="008B6441">
        <w:rPr>
          <w:rFonts w:ascii="Arial" w:hAnsi="Arial" w:cs="Arial"/>
        </w:rPr>
        <w:t xml:space="preserve"> scintillation counter, </w:t>
      </w:r>
      <w:r w:rsidRPr="008B6441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8B6441">
        <w:rPr>
          <w:rFonts w:ascii="Arial" w:hAnsi="Arial" w:cs="Arial"/>
          <w:sz w:val="22"/>
          <w:szCs w:val="22"/>
        </w:rPr>
        <w:t>Thermofisher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QUBIT 4 </w:t>
      </w:r>
      <w:proofErr w:type="spellStart"/>
      <w:r w:rsidRPr="008B6441">
        <w:rPr>
          <w:rFonts w:ascii="Arial" w:hAnsi="Arial" w:cs="Arial"/>
          <w:sz w:val="22"/>
          <w:szCs w:val="22"/>
        </w:rPr>
        <w:t>Flourometer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6441">
        <w:rPr>
          <w:rFonts w:ascii="Arial" w:hAnsi="Arial" w:cs="Arial"/>
          <w:sz w:val="22"/>
          <w:szCs w:val="22"/>
        </w:rPr>
        <w:t>Wifi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Box.</w:t>
      </w:r>
    </w:p>
    <w:p w14:paraId="1C543F45" w14:textId="77777777" w:rsidR="008B6441" w:rsidRPr="008B6441" w:rsidRDefault="008B6441" w:rsidP="008B6441">
      <w:pPr>
        <w:pStyle w:val="ListParagraph"/>
        <w:widowControl w:val="0"/>
        <w:adjustRightInd w:val="0"/>
        <w:spacing w:after="0" w:line="240" w:lineRule="auto"/>
        <w:ind w:right="720"/>
        <w:jc w:val="both"/>
        <w:rPr>
          <w:rFonts w:ascii="Arial" w:hAnsi="Arial" w:cs="Arial"/>
        </w:rPr>
      </w:pPr>
    </w:p>
    <w:p w14:paraId="670BFF86" w14:textId="77777777" w:rsidR="008B6441" w:rsidRPr="008B6441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8B6441">
        <w:rPr>
          <w:rFonts w:ascii="Arial" w:hAnsi="Arial" w:cs="Arial"/>
          <w:sz w:val="22"/>
          <w:szCs w:val="22"/>
          <w:u w:val="single"/>
        </w:rPr>
        <w:t>Imaging Facility:</w:t>
      </w:r>
      <w:r w:rsidRPr="008B6441">
        <w:rPr>
          <w:rFonts w:ascii="Arial" w:hAnsi="Arial" w:cs="Arial"/>
          <w:sz w:val="22"/>
          <w:szCs w:val="22"/>
        </w:rPr>
        <w:t xml:space="preserve"> Carl Zeiss Microimaging LSM 700 Confocal Laser Scanning System</w:t>
      </w:r>
      <w:r w:rsidRPr="008B6441">
        <w:rPr>
          <w:rFonts w:ascii="Arial" w:hAnsi="Arial" w:cs="Arial"/>
        </w:rPr>
        <w:t xml:space="preserve">, </w:t>
      </w:r>
      <w:proofErr w:type="spellStart"/>
      <w:r w:rsidRPr="008B6441">
        <w:rPr>
          <w:rFonts w:ascii="Arial" w:hAnsi="Arial" w:cs="Arial"/>
          <w:sz w:val="22"/>
          <w:szCs w:val="22"/>
        </w:rPr>
        <w:t>Licor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Odyssey </w:t>
      </w:r>
      <w:proofErr w:type="spellStart"/>
      <w:r w:rsidRPr="008B6441">
        <w:rPr>
          <w:rFonts w:ascii="Arial" w:hAnsi="Arial" w:cs="Arial"/>
          <w:sz w:val="22"/>
          <w:szCs w:val="22"/>
        </w:rPr>
        <w:t>Infared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Imager, Bio-Rad </w:t>
      </w:r>
      <w:proofErr w:type="spellStart"/>
      <w:r w:rsidRPr="008B6441">
        <w:rPr>
          <w:rFonts w:ascii="Arial" w:hAnsi="Arial" w:cs="Arial"/>
          <w:sz w:val="22"/>
          <w:szCs w:val="22"/>
        </w:rPr>
        <w:t>TransBlot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Turbo, VWR e5430r refrigerated benchtop micro centrifuge, UVP </w:t>
      </w:r>
      <w:proofErr w:type="spellStart"/>
      <w:r w:rsidRPr="008B6441">
        <w:rPr>
          <w:rFonts w:ascii="Arial" w:hAnsi="Arial" w:cs="Arial"/>
          <w:sz w:val="22"/>
          <w:szCs w:val="22"/>
        </w:rPr>
        <w:t>EpiChemi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II Darkroom, Hybridization Oven and </w:t>
      </w:r>
      <w:r w:rsidRPr="008B6441">
        <w:rPr>
          <w:rFonts w:ascii="Arial" w:hAnsi="Arial" w:cs="Arial"/>
          <w:strike/>
          <w:sz w:val="22"/>
          <w:szCs w:val="22"/>
        </w:rPr>
        <w:t xml:space="preserve">Storm </w:t>
      </w:r>
      <w:proofErr w:type="spellStart"/>
      <w:r w:rsidRPr="008B6441">
        <w:rPr>
          <w:rFonts w:ascii="Arial" w:hAnsi="Arial" w:cs="Arial"/>
          <w:strike/>
          <w:sz w:val="22"/>
          <w:szCs w:val="22"/>
        </w:rPr>
        <w:t>Phosphorimager</w:t>
      </w:r>
      <w:proofErr w:type="spellEnd"/>
      <w:r w:rsidRPr="008B6441">
        <w:rPr>
          <w:rFonts w:ascii="Arial" w:hAnsi="Arial" w:cs="Arial"/>
          <w:strike/>
          <w:sz w:val="22"/>
          <w:szCs w:val="22"/>
        </w:rPr>
        <w:t>.</w:t>
      </w:r>
      <w:r w:rsidRPr="008B6441">
        <w:rPr>
          <w:rFonts w:ascii="Arial" w:hAnsi="Arial" w:cs="Arial"/>
          <w:sz w:val="22"/>
          <w:szCs w:val="22"/>
        </w:rPr>
        <w:t xml:space="preserve"> </w:t>
      </w:r>
    </w:p>
    <w:p w14:paraId="5256A021" w14:textId="77777777" w:rsidR="008B6441" w:rsidRPr="00993C92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  <w:u w:val="single"/>
        </w:rPr>
      </w:pPr>
    </w:p>
    <w:p w14:paraId="6049F3C5" w14:textId="77777777" w:rsidR="008B6441" w:rsidRPr="008B6441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993C92">
        <w:rPr>
          <w:rFonts w:ascii="Arial" w:hAnsi="Arial" w:cs="Arial"/>
          <w:sz w:val="22"/>
          <w:szCs w:val="22"/>
          <w:u w:val="single"/>
        </w:rPr>
        <w:t>Cell Analytics Facility:</w:t>
      </w:r>
      <w:r w:rsidRPr="00993C92">
        <w:rPr>
          <w:rFonts w:ascii="Arial" w:hAnsi="Arial" w:cs="Arial"/>
          <w:b/>
          <w:sz w:val="22"/>
          <w:szCs w:val="22"/>
        </w:rPr>
        <w:t xml:space="preserve"> </w:t>
      </w:r>
      <w:r w:rsidRPr="00993C92">
        <w:rPr>
          <w:rFonts w:ascii="Arial" w:hAnsi="Arial" w:cs="Arial"/>
          <w:sz w:val="22"/>
          <w:szCs w:val="22"/>
        </w:rPr>
        <w:t>B</w:t>
      </w:r>
      <w:r w:rsidRPr="008B6441">
        <w:rPr>
          <w:rFonts w:ascii="Arial" w:hAnsi="Arial" w:cs="Arial"/>
          <w:sz w:val="22"/>
          <w:szCs w:val="22"/>
        </w:rPr>
        <w:t xml:space="preserve">D FACS </w:t>
      </w:r>
      <w:proofErr w:type="spellStart"/>
      <w:r w:rsidRPr="008B6441">
        <w:rPr>
          <w:rFonts w:ascii="Arial" w:hAnsi="Arial" w:cs="Arial"/>
          <w:sz w:val="22"/>
          <w:szCs w:val="22"/>
        </w:rPr>
        <w:t>Calibur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Analyzer, </w:t>
      </w:r>
      <w:proofErr w:type="spellStart"/>
      <w:r w:rsidRPr="008B6441">
        <w:rPr>
          <w:rFonts w:ascii="Arial" w:hAnsi="Arial" w:cs="Arial"/>
          <w:sz w:val="22"/>
          <w:szCs w:val="22"/>
        </w:rPr>
        <w:t>Orflo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6441">
        <w:rPr>
          <w:rFonts w:ascii="Arial" w:hAnsi="Arial" w:cs="Arial"/>
          <w:sz w:val="22"/>
          <w:szCs w:val="22"/>
        </w:rPr>
        <w:t>Moxi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-Go, ACEA Biosciences </w:t>
      </w:r>
      <w:proofErr w:type="spellStart"/>
      <w:r w:rsidRPr="008B6441">
        <w:rPr>
          <w:rFonts w:ascii="Arial" w:hAnsi="Arial" w:cs="Arial"/>
          <w:sz w:val="22"/>
          <w:szCs w:val="22"/>
        </w:rPr>
        <w:t>xCELLigence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RTCA DP system, </w:t>
      </w:r>
      <w:r w:rsidRPr="008B6441">
        <w:rPr>
          <w:rFonts w:ascii="Arial" w:hAnsi="Arial" w:cs="Arial"/>
        </w:rPr>
        <w:t xml:space="preserve">Hypoxia chamber, </w:t>
      </w:r>
      <w:r w:rsidRPr="008B6441">
        <w:rPr>
          <w:rFonts w:ascii="Arial" w:hAnsi="Arial" w:cs="Arial"/>
          <w:sz w:val="22"/>
          <w:szCs w:val="22"/>
        </w:rPr>
        <w:t>and MEA2100 system (multi-microelectrode arrays).</w:t>
      </w:r>
    </w:p>
    <w:p w14:paraId="1019A7FB" w14:textId="77777777" w:rsidR="008B6441" w:rsidRPr="008B6441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434E12BD" w14:textId="77777777" w:rsidR="008B6441" w:rsidRPr="008B6441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8B6441">
        <w:rPr>
          <w:rFonts w:ascii="Arial" w:hAnsi="Arial" w:cs="Arial"/>
          <w:sz w:val="22"/>
          <w:szCs w:val="22"/>
          <w:u w:val="single"/>
        </w:rPr>
        <w:t>Genomics Facility:</w:t>
      </w:r>
      <w:r w:rsidRPr="008B6441">
        <w:rPr>
          <w:rFonts w:ascii="Arial" w:hAnsi="Arial" w:cs="Arial"/>
          <w:sz w:val="22"/>
          <w:szCs w:val="22"/>
        </w:rPr>
        <w:t xml:space="preserve"> VWR </w:t>
      </w:r>
      <w:proofErr w:type="spellStart"/>
      <w:r w:rsidRPr="008B6441">
        <w:rPr>
          <w:rFonts w:ascii="Arial" w:hAnsi="Arial" w:cs="Arial"/>
          <w:sz w:val="22"/>
          <w:szCs w:val="22"/>
        </w:rPr>
        <w:t>epMotion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5073 liquid handling robotic system and a </w:t>
      </w:r>
      <w:proofErr w:type="spellStart"/>
      <w:r w:rsidRPr="008B6441">
        <w:rPr>
          <w:rFonts w:ascii="Arial" w:hAnsi="Arial" w:cs="Arial"/>
          <w:sz w:val="22"/>
          <w:szCs w:val="22"/>
        </w:rPr>
        <w:t>Diagenode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Pico Disruptor, Oxford </w:t>
      </w:r>
      <w:proofErr w:type="spellStart"/>
      <w:r w:rsidRPr="008B6441">
        <w:rPr>
          <w:rFonts w:ascii="Arial" w:hAnsi="Arial" w:cs="Arial"/>
          <w:sz w:val="22"/>
          <w:szCs w:val="22"/>
        </w:rPr>
        <w:t>Nanoore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Sequencer and 10x Chromium ix, </w:t>
      </w:r>
      <w:r w:rsidRPr="008B6441">
        <w:rPr>
          <w:rFonts w:ascii="Arial" w:hAnsi="Arial" w:cs="Arial"/>
          <w:strike/>
          <w:sz w:val="22"/>
          <w:szCs w:val="22"/>
        </w:rPr>
        <w:t>nanopore sequencer,</w:t>
      </w:r>
      <w:r w:rsidRPr="008B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6441">
        <w:rPr>
          <w:rFonts w:ascii="Arial" w:hAnsi="Arial" w:cs="Arial"/>
          <w:sz w:val="22"/>
          <w:szCs w:val="22"/>
        </w:rPr>
        <w:t>FreezerWorks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laboratory management software and -135 freezer.</w:t>
      </w:r>
    </w:p>
    <w:p w14:paraId="2531AC3C" w14:textId="77777777" w:rsidR="008B6441" w:rsidRPr="008B6441" w:rsidRDefault="008B6441" w:rsidP="008B6441">
      <w:pPr>
        <w:pStyle w:val="ListParagraph"/>
        <w:spacing w:after="0" w:line="240" w:lineRule="auto"/>
        <w:ind w:right="720"/>
        <w:rPr>
          <w:rFonts w:ascii="Arial" w:hAnsi="Arial" w:cs="Arial"/>
        </w:rPr>
      </w:pPr>
    </w:p>
    <w:p w14:paraId="7DA94FE3" w14:textId="77777777" w:rsidR="008B6441" w:rsidRPr="008B6441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8B6441">
        <w:rPr>
          <w:rFonts w:ascii="Arial" w:hAnsi="Arial" w:cs="Arial"/>
          <w:sz w:val="22"/>
          <w:szCs w:val="22"/>
          <w:u w:val="single"/>
        </w:rPr>
        <w:t>Proteomics Facility:</w:t>
      </w:r>
      <w:r w:rsidRPr="008B6441">
        <w:rPr>
          <w:rFonts w:ascii="Arial" w:hAnsi="Arial" w:cs="Arial"/>
          <w:b/>
          <w:sz w:val="22"/>
          <w:szCs w:val="22"/>
        </w:rPr>
        <w:t xml:space="preserve"> </w:t>
      </w:r>
      <w:r w:rsidRPr="008B6441">
        <w:rPr>
          <w:rFonts w:ascii="Arial" w:hAnsi="Arial" w:cs="Arial"/>
          <w:sz w:val="22"/>
          <w:szCs w:val="22"/>
        </w:rPr>
        <w:t xml:space="preserve">FPLC, </w:t>
      </w:r>
      <w:proofErr w:type="spellStart"/>
      <w:r w:rsidRPr="008B6441">
        <w:rPr>
          <w:rFonts w:ascii="Arial" w:hAnsi="Arial" w:cs="Arial"/>
          <w:sz w:val="22"/>
          <w:szCs w:val="22"/>
        </w:rPr>
        <w:t>Lablanco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freeze zone 4.5 plus, Bio Rad Protein Purification System, and BMG LabTech </w:t>
      </w:r>
      <w:proofErr w:type="spellStart"/>
      <w:r w:rsidRPr="008B6441">
        <w:rPr>
          <w:rFonts w:ascii="Arial" w:hAnsi="Arial" w:cs="Arial"/>
          <w:sz w:val="22"/>
          <w:szCs w:val="22"/>
        </w:rPr>
        <w:t>CLARIOstar</w:t>
      </w:r>
      <w:proofErr w:type="spellEnd"/>
      <w:r w:rsidRPr="008B6441">
        <w:rPr>
          <w:rFonts w:ascii="Arial" w:hAnsi="Arial" w:cs="Arial"/>
          <w:sz w:val="22"/>
          <w:szCs w:val="22"/>
        </w:rPr>
        <w:t xml:space="preserve"> </w:t>
      </w:r>
      <w:r w:rsidRPr="008B6441">
        <w:rPr>
          <w:rFonts w:ascii="Arial" w:hAnsi="Arial" w:cs="Arial"/>
        </w:rPr>
        <w:t xml:space="preserve">and </w:t>
      </w:r>
      <w:proofErr w:type="spellStart"/>
      <w:r w:rsidRPr="008B6441">
        <w:rPr>
          <w:rFonts w:ascii="Arial" w:hAnsi="Arial" w:cs="Arial"/>
        </w:rPr>
        <w:t>Fluostar</w:t>
      </w:r>
      <w:proofErr w:type="spellEnd"/>
      <w:r w:rsidRPr="008B6441">
        <w:rPr>
          <w:rFonts w:ascii="Arial" w:hAnsi="Arial" w:cs="Arial"/>
          <w:sz w:val="22"/>
          <w:szCs w:val="22"/>
        </w:rPr>
        <w:t>.</w:t>
      </w:r>
    </w:p>
    <w:p w14:paraId="636AAC5A" w14:textId="77777777" w:rsidR="008B6441" w:rsidRPr="00993C92" w:rsidRDefault="008B6441" w:rsidP="008B6441">
      <w:pPr>
        <w:pStyle w:val="ListParagraph"/>
        <w:spacing w:after="0" w:line="240" w:lineRule="auto"/>
        <w:ind w:right="720"/>
        <w:rPr>
          <w:rFonts w:ascii="Arial" w:hAnsi="Arial" w:cs="Arial"/>
        </w:rPr>
      </w:pPr>
    </w:p>
    <w:p w14:paraId="0E62E053" w14:textId="77777777" w:rsidR="008B6441" w:rsidRPr="00993C92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993C92">
        <w:rPr>
          <w:rFonts w:ascii="Arial" w:hAnsi="Arial" w:cs="Arial"/>
          <w:sz w:val="22"/>
          <w:szCs w:val="22"/>
          <w:u w:val="single"/>
        </w:rPr>
        <w:t>Histology Facility</w:t>
      </w:r>
      <w:r w:rsidRPr="00993C92">
        <w:rPr>
          <w:rFonts w:ascii="Arial" w:hAnsi="Arial" w:cs="Arial"/>
          <w:b/>
          <w:sz w:val="22"/>
          <w:szCs w:val="22"/>
        </w:rPr>
        <w:t>:</w:t>
      </w:r>
      <w:r w:rsidRPr="00993C92">
        <w:rPr>
          <w:rFonts w:ascii="Arial" w:hAnsi="Arial" w:cs="Arial"/>
          <w:sz w:val="22"/>
          <w:szCs w:val="22"/>
        </w:rPr>
        <w:t xml:space="preserve"> Leica cryostat</w:t>
      </w:r>
      <w:r>
        <w:rPr>
          <w:rFonts w:ascii="Arial" w:hAnsi="Arial" w:cs="Arial"/>
          <w:sz w:val="22"/>
          <w:szCs w:val="22"/>
        </w:rPr>
        <w:t xml:space="preserve"> (CM1850 and CM1860)</w:t>
      </w:r>
      <w:r w:rsidRPr="00993C92">
        <w:rPr>
          <w:rFonts w:ascii="Arial" w:hAnsi="Arial" w:cs="Arial"/>
          <w:sz w:val="22"/>
          <w:szCs w:val="22"/>
        </w:rPr>
        <w:t xml:space="preserve">, microtomes, paraffin embedding station. </w:t>
      </w:r>
    </w:p>
    <w:p w14:paraId="02448BA6" w14:textId="77777777" w:rsidR="008B6441" w:rsidRPr="00993C92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1AAE1B53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bookmarkStart w:id="1" w:name="_Hlk111637169"/>
      <w:r w:rsidRPr="00993C92">
        <w:rPr>
          <w:rFonts w:ascii="Arial" w:hAnsi="Arial" w:cs="Arial"/>
          <w:sz w:val="22"/>
          <w:szCs w:val="22"/>
          <w:u w:val="single"/>
        </w:rPr>
        <w:t>Nikon Center of Excellence Cell Imaging Core</w:t>
      </w:r>
      <w:r w:rsidRPr="00993C92">
        <w:rPr>
          <w:rFonts w:ascii="Arial" w:hAnsi="Arial" w:cs="Arial"/>
          <w:sz w:val="22"/>
          <w:szCs w:val="22"/>
        </w:rPr>
        <w:t>: Nikon N-SIM E and A1+R combined Super Resolution and Confocal Imaging System</w:t>
      </w:r>
      <w:r>
        <w:rPr>
          <w:rFonts w:ascii="Arial" w:hAnsi="Arial" w:cs="Arial"/>
          <w:sz w:val="22"/>
          <w:szCs w:val="22"/>
        </w:rPr>
        <w:t xml:space="preserve"> and a </w:t>
      </w:r>
      <w:proofErr w:type="spellStart"/>
      <w:r>
        <w:rPr>
          <w:rFonts w:ascii="Arial" w:hAnsi="Arial" w:cs="Arial"/>
          <w:sz w:val="22"/>
          <w:szCs w:val="22"/>
        </w:rPr>
        <w:t>Neurolucida</w:t>
      </w:r>
      <w:proofErr w:type="spellEnd"/>
      <w:r>
        <w:rPr>
          <w:rFonts w:ascii="Arial" w:hAnsi="Arial" w:cs="Arial"/>
          <w:sz w:val="22"/>
          <w:szCs w:val="22"/>
        </w:rPr>
        <w:t xml:space="preserve"> 360 imaging station/software.</w:t>
      </w:r>
      <w:r w:rsidRPr="00993C92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245B0597" w14:textId="77777777" w:rsidR="008B6441" w:rsidRPr="00993C92" w:rsidRDefault="008B6441" w:rsidP="008B6441">
      <w:pPr>
        <w:widowControl w:val="0"/>
        <w:adjustRightInd w:val="0"/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52F23271" w14:textId="77777777" w:rsidR="008B6441" w:rsidRPr="0093737C" w:rsidRDefault="008B6441" w:rsidP="008B6441">
      <w:pPr>
        <w:spacing w:after="0"/>
        <w:ind w:left="720" w:right="720"/>
        <w:jc w:val="both"/>
        <w:rPr>
          <w:rFonts w:ascii="Arial" w:hAnsi="Arial" w:cs="Arial"/>
          <w:sz w:val="22"/>
          <w:szCs w:val="22"/>
        </w:rPr>
      </w:pPr>
      <w:r w:rsidRPr="00993C92">
        <w:rPr>
          <w:rFonts w:ascii="Arial" w:hAnsi="Arial" w:cs="Arial"/>
          <w:sz w:val="22"/>
          <w:szCs w:val="22"/>
          <w:u w:val="single"/>
        </w:rPr>
        <w:t>AAALAC-Accredited Animal Facilities</w:t>
      </w:r>
      <w:r w:rsidRPr="00993C92">
        <w:rPr>
          <w:rFonts w:ascii="Arial" w:hAnsi="Arial" w:cs="Arial"/>
          <w:sz w:val="22"/>
          <w:szCs w:val="22"/>
        </w:rPr>
        <w:t xml:space="preserve">: phenotyping equipment, including a Med Associates animal locomotor tracking system, </w:t>
      </w:r>
      <w:proofErr w:type="spellStart"/>
      <w:r w:rsidRPr="00993C92">
        <w:rPr>
          <w:rFonts w:ascii="Arial" w:hAnsi="Arial" w:cs="Arial"/>
          <w:sz w:val="22"/>
          <w:szCs w:val="22"/>
        </w:rPr>
        <w:t>Noldus</w:t>
      </w:r>
      <w:proofErr w:type="spellEnd"/>
      <w:r w:rsidRPr="00993C92">
        <w:rPr>
          <w:rFonts w:ascii="Arial" w:hAnsi="Arial" w:cs="Arial"/>
          <w:sz w:val="22"/>
          <w:szCs w:val="22"/>
        </w:rPr>
        <w:t xml:space="preserve"> behavioral mouse maze, </w:t>
      </w:r>
      <w:proofErr w:type="spellStart"/>
      <w:r w:rsidRPr="00993C92">
        <w:rPr>
          <w:rFonts w:ascii="Arial" w:hAnsi="Arial" w:cs="Arial"/>
          <w:sz w:val="22"/>
          <w:szCs w:val="22"/>
        </w:rPr>
        <w:t>Neurostar</w:t>
      </w:r>
      <w:proofErr w:type="spellEnd"/>
      <w:r w:rsidRPr="00993C92">
        <w:rPr>
          <w:rFonts w:ascii="Arial" w:hAnsi="Arial" w:cs="Arial"/>
          <w:sz w:val="22"/>
          <w:szCs w:val="22"/>
        </w:rPr>
        <w:t xml:space="preserve"> motorized stereotaxic system, </w:t>
      </w:r>
      <w:proofErr w:type="spellStart"/>
      <w:r w:rsidRPr="00993C92">
        <w:rPr>
          <w:rFonts w:ascii="Arial" w:hAnsi="Arial" w:cs="Arial"/>
          <w:sz w:val="22"/>
          <w:szCs w:val="22"/>
        </w:rPr>
        <w:t>microdialysis</w:t>
      </w:r>
      <w:proofErr w:type="spellEnd"/>
      <w:r w:rsidRPr="00993C92">
        <w:rPr>
          <w:rFonts w:ascii="Arial" w:hAnsi="Arial" w:cs="Arial"/>
          <w:sz w:val="22"/>
          <w:szCs w:val="22"/>
        </w:rPr>
        <w:t xml:space="preserve"> set up.</w:t>
      </w:r>
    </w:p>
    <w:p w14:paraId="308608EC" w14:textId="77777777" w:rsidR="008B6441" w:rsidRDefault="008B6441" w:rsidP="008B6441">
      <w:pPr>
        <w:pStyle w:val="NoSpacing"/>
        <w:ind w:left="720" w:right="720"/>
        <w:jc w:val="both"/>
        <w:rPr>
          <w:rFonts w:ascii="Arial" w:hAnsi="Arial" w:cs="Arial"/>
          <w:b/>
          <w:color w:val="000000" w:themeColor="text1"/>
        </w:rPr>
      </w:pPr>
    </w:p>
    <w:p w14:paraId="2111007B" w14:textId="77777777" w:rsidR="008B6441" w:rsidRPr="00993C92" w:rsidRDefault="008B6441" w:rsidP="008B6441">
      <w:pPr>
        <w:pStyle w:val="NoSpacing"/>
        <w:ind w:left="720" w:right="720"/>
        <w:jc w:val="both"/>
        <w:rPr>
          <w:rFonts w:ascii="Arial" w:hAnsi="Arial" w:cs="Arial"/>
          <w:color w:val="000000" w:themeColor="text1"/>
        </w:rPr>
      </w:pPr>
      <w:r w:rsidRPr="00993C92">
        <w:rPr>
          <w:rFonts w:ascii="Arial" w:hAnsi="Arial" w:cs="Arial"/>
          <w:b/>
          <w:color w:val="000000" w:themeColor="text1"/>
        </w:rPr>
        <w:t xml:space="preserve">Max Plank Core Equipment.  </w:t>
      </w:r>
      <w:r w:rsidRPr="00993C92">
        <w:rPr>
          <w:rFonts w:ascii="Arial" w:hAnsi="Arial" w:cs="Arial"/>
          <w:color w:val="000000" w:themeColor="text1"/>
        </w:rPr>
        <w:t>Through a reciprocity agreement, FAU faculty and trainees have access to the specialized core facilities at the Max Planck Florida Institute of Neuroscience</w:t>
      </w:r>
      <w:r>
        <w:rPr>
          <w:rFonts w:ascii="Arial" w:hAnsi="Arial" w:cs="Arial"/>
          <w:color w:val="000000" w:themeColor="text1"/>
        </w:rPr>
        <w:t xml:space="preserve"> located on the FAU Jupiter campus</w:t>
      </w:r>
      <w:r w:rsidRPr="00993C92">
        <w:rPr>
          <w:rFonts w:ascii="Arial" w:hAnsi="Arial" w:cs="Arial"/>
          <w:color w:val="000000" w:themeColor="text1"/>
        </w:rPr>
        <w:t>. Th</w:t>
      </w:r>
      <w:r>
        <w:rPr>
          <w:rFonts w:ascii="Arial" w:hAnsi="Arial" w:cs="Arial"/>
          <w:color w:val="000000" w:themeColor="text1"/>
        </w:rPr>
        <w:t>is</w:t>
      </w:r>
      <w:r w:rsidRPr="00993C92">
        <w:rPr>
          <w:rFonts w:ascii="Arial" w:hAnsi="Arial" w:cs="Arial"/>
          <w:color w:val="000000" w:themeColor="text1"/>
        </w:rPr>
        <w:t xml:space="preserve"> include</w:t>
      </w:r>
      <w:r>
        <w:rPr>
          <w:rFonts w:ascii="Arial" w:hAnsi="Arial" w:cs="Arial"/>
          <w:color w:val="000000" w:themeColor="text1"/>
        </w:rPr>
        <w:t>s</w:t>
      </w:r>
      <w:r w:rsidRPr="00993C92">
        <w:rPr>
          <w:rFonts w:ascii="Arial" w:hAnsi="Arial" w:cs="Arial"/>
          <w:color w:val="000000" w:themeColor="text1"/>
        </w:rPr>
        <w:t xml:space="preserve"> the following</w:t>
      </w:r>
      <w:r>
        <w:rPr>
          <w:rFonts w:ascii="Arial" w:hAnsi="Arial" w:cs="Arial"/>
          <w:color w:val="000000" w:themeColor="text1"/>
        </w:rPr>
        <w:t xml:space="preserve"> equipment</w:t>
      </w:r>
      <w:r w:rsidRPr="00993C92">
        <w:rPr>
          <w:rFonts w:ascii="Arial" w:hAnsi="Arial" w:cs="Arial"/>
          <w:color w:val="000000" w:themeColor="text1"/>
        </w:rPr>
        <w:t>:</w:t>
      </w:r>
    </w:p>
    <w:p w14:paraId="244C31BF" w14:textId="77777777" w:rsidR="008B6441" w:rsidRPr="00993C92" w:rsidRDefault="008B6441" w:rsidP="008B6441">
      <w:pPr>
        <w:pStyle w:val="NoSpacing"/>
        <w:ind w:left="720" w:right="720"/>
        <w:jc w:val="both"/>
        <w:rPr>
          <w:rFonts w:ascii="Arial" w:hAnsi="Arial" w:cs="Arial"/>
          <w:color w:val="000000" w:themeColor="text1"/>
          <w:u w:val="single"/>
        </w:rPr>
      </w:pPr>
    </w:p>
    <w:p w14:paraId="1A1D35AB" w14:textId="77777777" w:rsidR="008B6441" w:rsidRPr="00993C92" w:rsidRDefault="008B6441" w:rsidP="008B6441">
      <w:pPr>
        <w:pStyle w:val="NoSpacing"/>
        <w:ind w:left="720" w:right="720"/>
        <w:jc w:val="both"/>
        <w:rPr>
          <w:rFonts w:ascii="Arial" w:hAnsi="Arial" w:cs="Arial"/>
          <w:color w:val="000000" w:themeColor="text1"/>
        </w:rPr>
      </w:pPr>
      <w:r w:rsidRPr="00993C92">
        <w:rPr>
          <w:rFonts w:ascii="Arial" w:hAnsi="Arial" w:cs="Arial"/>
          <w:color w:val="000000" w:themeColor="text1"/>
          <w:u w:val="single"/>
        </w:rPr>
        <w:t>Electron Microscopy Core</w:t>
      </w:r>
      <w:r>
        <w:rPr>
          <w:rFonts w:ascii="Arial" w:hAnsi="Arial" w:cs="Arial"/>
          <w:color w:val="000000" w:themeColor="text1"/>
          <w:u w:val="single"/>
        </w:rPr>
        <w:t>:</w:t>
      </w:r>
      <w:r w:rsidRPr="00993C92">
        <w:rPr>
          <w:rFonts w:ascii="Arial" w:hAnsi="Arial" w:cs="Arial"/>
          <w:color w:val="000000" w:themeColor="text1"/>
        </w:rPr>
        <w:t xml:space="preserve"> FEI </w:t>
      </w:r>
      <w:proofErr w:type="spellStart"/>
      <w:r w:rsidRPr="00993C92">
        <w:rPr>
          <w:rFonts w:ascii="Arial" w:hAnsi="Arial" w:cs="Arial"/>
          <w:color w:val="000000" w:themeColor="text1"/>
        </w:rPr>
        <w:t>Tecnai</w:t>
      </w:r>
      <w:proofErr w:type="spellEnd"/>
      <w:r w:rsidRPr="00993C92">
        <w:rPr>
          <w:rFonts w:ascii="Arial" w:hAnsi="Arial" w:cs="Arial"/>
          <w:color w:val="000000" w:themeColor="text1"/>
        </w:rPr>
        <w:t xml:space="preserve"> transmission electron microscope, Zeiss Merlin VP Compact scanning electron microscope, High-pressure freezing system (HPM100), Automatic freeze-substitution device (AFS), Cryo-preparation system (CPC), Ultramicrotome (UC7), and a Freeze-fracture system (JFDV). </w:t>
      </w:r>
    </w:p>
    <w:p w14:paraId="6DA0AD52" w14:textId="77777777" w:rsidR="008B6441" w:rsidRPr="00993C92" w:rsidRDefault="008B6441" w:rsidP="008B6441">
      <w:pPr>
        <w:pStyle w:val="NoSpacing"/>
        <w:ind w:left="720" w:right="720"/>
        <w:jc w:val="both"/>
        <w:rPr>
          <w:rFonts w:ascii="Arial" w:hAnsi="Arial" w:cs="Arial"/>
          <w:color w:val="000000" w:themeColor="text1"/>
        </w:rPr>
      </w:pPr>
    </w:p>
    <w:p w14:paraId="48261893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Microscopy Core: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 Zeiss LSM 780 confocal system, Leica SP5 II resonant confocal system, and a Prairie Moving In Vivo Multiphoton system.  </w:t>
      </w:r>
    </w:p>
    <w:p w14:paraId="7889ADEB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4E20D80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Mechanical Workshop: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5-axis high-speed CNC milling machine and a 3+2-axis CNC milling machine.  </w:t>
      </w:r>
    </w:p>
    <w:p w14:paraId="7F2CCE86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FBE183" w14:textId="77777777" w:rsidR="008B6441" w:rsidRPr="00993C92" w:rsidRDefault="008B6441" w:rsidP="008B6441">
      <w:pPr>
        <w:pStyle w:val="NoSpacing"/>
        <w:ind w:left="720" w:right="720"/>
        <w:jc w:val="both"/>
        <w:rPr>
          <w:rFonts w:ascii="Arial" w:hAnsi="Arial" w:cs="Arial"/>
          <w:color w:val="000000" w:themeColor="text1"/>
        </w:rPr>
      </w:pPr>
      <w:r w:rsidRPr="00993C92">
        <w:rPr>
          <w:rFonts w:ascii="Arial" w:hAnsi="Arial" w:cs="Arial"/>
          <w:b/>
          <w:color w:val="000000" w:themeColor="text1"/>
        </w:rPr>
        <w:t xml:space="preserve">Scripps Florida Core Equipment. </w:t>
      </w:r>
      <w:r w:rsidRPr="00993C92">
        <w:rPr>
          <w:rFonts w:ascii="Arial" w:hAnsi="Arial" w:cs="Arial"/>
          <w:color w:val="000000" w:themeColor="text1"/>
        </w:rPr>
        <w:t>Through a reciprocity agreement, FAU faculty and trainees have access to the specialized core facilities at the Max Planck Florida Institute of Neuroscience</w:t>
      </w:r>
      <w:r>
        <w:rPr>
          <w:rFonts w:ascii="Arial" w:hAnsi="Arial" w:cs="Arial"/>
          <w:color w:val="000000" w:themeColor="text1"/>
        </w:rPr>
        <w:t xml:space="preserve"> located on the FAU Jupiter campus</w:t>
      </w:r>
      <w:r w:rsidRPr="00993C92">
        <w:rPr>
          <w:rFonts w:ascii="Arial" w:hAnsi="Arial" w:cs="Arial"/>
          <w:color w:val="000000" w:themeColor="text1"/>
        </w:rPr>
        <w:t>. Th</w:t>
      </w:r>
      <w:r>
        <w:rPr>
          <w:rFonts w:ascii="Arial" w:hAnsi="Arial" w:cs="Arial"/>
          <w:color w:val="000000" w:themeColor="text1"/>
        </w:rPr>
        <w:t>is</w:t>
      </w:r>
      <w:r w:rsidRPr="00993C92">
        <w:rPr>
          <w:rFonts w:ascii="Arial" w:hAnsi="Arial" w:cs="Arial"/>
          <w:color w:val="000000" w:themeColor="text1"/>
        </w:rPr>
        <w:t xml:space="preserve"> include</w:t>
      </w:r>
      <w:r>
        <w:rPr>
          <w:rFonts w:ascii="Arial" w:hAnsi="Arial" w:cs="Arial"/>
          <w:color w:val="000000" w:themeColor="text1"/>
        </w:rPr>
        <w:t>s</w:t>
      </w:r>
      <w:r w:rsidRPr="00993C92">
        <w:rPr>
          <w:rFonts w:ascii="Arial" w:hAnsi="Arial" w:cs="Arial"/>
          <w:color w:val="000000" w:themeColor="text1"/>
        </w:rPr>
        <w:t xml:space="preserve"> the following</w:t>
      </w:r>
      <w:r>
        <w:rPr>
          <w:rFonts w:ascii="Arial" w:hAnsi="Arial" w:cs="Arial"/>
          <w:color w:val="000000" w:themeColor="text1"/>
        </w:rPr>
        <w:t xml:space="preserve"> equipment</w:t>
      </w:r>
      <w:r w:rsidRPr="00993C92">
        <w:rPr>
          <w:rFonts w:ascii="Arial" w:hAnsi="Arial" w:cs="Arial"/>
          <w:color w:val="000000" w:themeColor="text1"/>
        </w:rPr>
        <w:t>:</w:t>
      </w:r>
    </w:p>
    <w:p w14:paraId="7E076216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C4ADDCD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Flow Cytometry Core: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 BD FACSAria3, BD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FACSAria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Fusion, BD LSR2, Beckman Coulter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Gallios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, BD Canto, LCM microscope,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Hemavet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950FS, BD 12x75mm tube with cell strainer cap, and LEICA LMD 7000.  </w:t>
      </w:r>
    </w:p>
    <w:p w14:paraId="5F2BEC65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18C053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Genomics Core: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Illumina NextSeq500, ABI SOLID5500 and EZ Bead system, Ion Torrent Personal Genome Machine, Ion Torrent Proton, Affymetrix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GeneChip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System, Quantitative RT-PCR:  a Roche Light Cycler 480 instrument and an Applied Biosystems </w:t>
      </w:r>
      <w:proofErr w:type="gramStart"/>
      <w:r w:rsidRPr="00993C92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Step One Plus instrument, Agilent 2100 Bioanalyzer and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Tapestation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2200, and a Hamilton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Microlab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STARlet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Robotic Liquid Handler Unit.  </w:t>
      </w:r>
    </w:p>
    <w:p w14:paraId="5796FDA1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8CDC48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High-Throughput Screening: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Agilent 1200 series LCMS with multimode mass spectrometry (ES, APCI, ELSD). </w:t>
      </w: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Microbiology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>: PCR machines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post-PCR equipment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Akta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FPLC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Spiral Biotech spiral platers and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Qcount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imaging colony counters. </w:t>
      </w:r>
    </w:p>
    <w:p w14:paraId="74EBAB57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Assay-Development"/>
      <w:bookmarkEnd w:id="2"/>
    </w:p>
    <w:p w14:paraId="10192C1C" w14:textId="77777777" w:rsidR="008B6441" w:rsidRPr="00993C92" w:rsidRDefault="008B6441" w:rsidP="008B6441">
      <w:pPr>
        <w:spacing w:after="0"/>
        <w:ind w:left="720" w:righ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High Performance Computing: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more than 456 processors and 456 GB of distributed memory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several small-scale SMP machines for memory-intensive tasks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two </w:t>
      </w:r>
      <w:proofErr w:type="gramStart"/>
      <w:r w:rsidRPr="00993C92">
        <w:rPr>
          <w:rFonts w:ascii="Arial" w:hAnsi="Arial" w:cs="Arial"/>
          <w:color w:val="000000" w:themeColor="text1"/>
          <w:sz w:val="22"/>
          <w:szCs w:val="22"/>
        </w:rPr>
        <w:t>large</w:t>
      </w:r>
      <w:proofErr w:type="gram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dedicated SMP machines each </w:t>
      </w:r>
      <w:r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128 GB of RAM and 32 cores.  </w:t>
      </w:r>
    </w:p>
    <w:p w14:paraId="30BDD942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447D75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Histology: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VIP Tissue Processor, BIOCARE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NxGen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Decloaking Chamber, Rotary Microtome, Staining Center, Leica Cryostat, and Zeiss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Axio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Microscope/Camera Software.</w:t>
      </w:r>
    </w:p>
    <w:p w14:paraId="248DF275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9B3D34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Metabolic Core: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CLAMS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 units, </w:t>
      </w:r>
      <w:proofErr w:type="spellStart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Minispec</w:t>
      </w:r>
      <w:proofErr w:type="spellEnd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 LF-50/</w:t>
      </w:r>
      <w:proofErr w:type="spellStart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mq</w:t>
      </w:r>
      <w:proofErr w:type="spellEnd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 7.5 NMR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(Brucker Optics) analyzer, </w:t>
      </w:r>
      <w:proofErr w:type="spellStart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BioDAQ</w:t>
      </w:r>
      <w:proofErr w:type="spellEnd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 system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(Research Diets),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Metabolic Cages 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Tecniplast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DSI Telemetry Systems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(Data Sciences International),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MC4000 blood pressure and heart rate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analyzer for mice (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Tailcuff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method, Hatteras Instruments),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Mouse Ox Plus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Vital signs monitor (Starr Life Sciences).  </w:t>
      </w:r>
      <w:r w:rsidRPr="00993C92">
        <w:rPr>
          <w:rFonts w:ascii="Arial" w:hAnsi="Arial" w:cs="Arial"/>
          <w:color w:val="000000" w:themeColor="text1"/>
          <w:sz w:val="22"/>
          <w:szCs w:val="22"/>
          <w:u w:val="single"/>
        </w:rPr>
        <w:t>Laboratory Tests and Instrumentation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The </w:t>
      </w:r>
      <w:proofErr w:type="spellStart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Cobas</w:t>
      </w:r>
      <w:proofErr w:type="spellEnd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 c311 clinical chemistry analyzer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(Roche Diagnostics),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a GM7 analyzer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Analox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instruments),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a Luminex 200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(Luminex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Coorporation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24 and 96-wells Sea Horse analyzers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SeaHorse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Biosciences), and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an AR-2000 radio-TLC Imaging Scanner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(Eckert &amp; Ziegler).</w:t>
      </w:r>
    </w:p>
    <w:p w14:paraId="0287F7C5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38E80E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</w:pPr>
      <w:r w:rsidRPr="00993C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Nuclear Magnetic Resonance (NMR):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three Bruker nuclear magnetic resonance instruments, two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Avance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400 MHz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ULTRAShield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instruments and one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Avance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III 700 MHz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ULTRAShield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instrument. The machines run 24 hours a day, 365 days of the year and are fully equipped to run multi-nuclear 1D and 2D experiments, with both direct and indirect detection for a variety of nuclei. </w:t>
      </w:r>
    </w:p>
    <w:p w14:paraId="632B305C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AEB3103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</w:pPr>
      <w:r w:rsidRPr="00993C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Proteomics and Mass Spectrometry: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ThermoQ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Exactive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with Thermo Easy-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nLC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1000 Liquid Chromatograph, Thermo LTQ Orbitrap with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Eksigent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NanoLC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Ultra, Thermo LTQ-ETD with Agilent HP1100, Bruker MALDI-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ToF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993C92">
        <w:rPr>
          <w:rFonts w:ascii="Arial" w:hAnsi="Arial" w:cs="Arial"/>
          <w:color w:val="000000" w:themeColor="text1"/>
          <w:sz w:val="22"/>
          <w:szCs w:val="22"/>
        </w:rPr>
        <w:t>MicroFlex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>), Agilent 1100 with UV and fraction collector HPLC, TA Nano Isothermal Titration Calorimeter (ITC).</w:t>
      </w:r>
    </w:p>
    <w:p w14:paraId="7BC3EFAA" w14:textId="77777777" w:rsidR="008B6441" w:rsidRPr="00993C92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</w:pPr>
    </w:p>
    <w:p w14:paraId="26CE5A13" w14:textId="77777777" w:rsidR="008B6441" w:rsidRDefault="008B6441" w:rsidP="008B6441">
      <w:pPr>
        <w:pStyle w:val="NormalWeb"/>
        <w:spacing w:before="0" w:beforeAutospacing="0" w:after="0" w:afterAutospacing="0"/>
        <w:ind w:left="720" w:right="720"/>
        <w:jc w:val="both"/>
        <w:rPr>
          <w:rFonts w:ascii="Arial" w:hAnsi="Arial" w:cs="Arial"/>
        </w:rPr>
      </w:pPr>
      <w:r w:rsidRPr="00993C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X-Ray Crystallography Core Facility: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 Minstrel III,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RoboIncubators</w:t>
      </w:r>
      <w:proofErr w:type="spellEnd"/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Leica stereomicroscope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Gryphon Crystallization Robot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93C92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Bruker AXS Smart APEX</w:t>
      </w:r>
      <w:r w:rsidRPr="00993C9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3C92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CCD</w:t>
      </w:r>
      <w:r w:rsidRPr="00993C9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3C92">
        <w:rPr>
          <w:rFonts w:ascii="Tahoma" w:hAnsi="Tahoma" w:cs="Tahoma"/>
          <w:color w:val="000000" w:themeColor="text1"/>
          <w:sz w:val="22"/>
          <w:szCs w:val="22"/>
        </w:rPr>
        <w:t>﻿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diffraction system,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Rigaku MicroMax-007 HFM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X-ray generator with a </w:t>
      </w:r>
      <w:proofErr w:type="spellStart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VariMax</w:t>
      </w:r>
      <w:proofErr w:type="spellEnd"/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 xml:space="preserve"> HR 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optics and an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X-Stream 2000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crystal 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cryo-freezing system, </w:t>
      </w:r>
      <w:r w:rsidRPr="00993C92">
        <w:rPr>
          <w:rFonts w:ascii="Arial" w:hAnsi="Arial" w:cs="Arial"/>
          <w:bCs/>
          <w:color w:val="000000" w:themeColor="text1"/>
          <w:sz w:val="22"/>
          <w:szCs w:val="22"/>
        </w:rPr>
        <w:t>Mar345dtb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image plate detector, and </w:t>
      </w:r>
      <w:proofErr w:type="spellStart"/>
      <w:r w:rsidRPr="00993C92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Proteros</w:t>
      </w:r>
      <w:proofErr w:type="spellEnd"/>
      <w:r w:rsidRPr="00993C92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Free Mounting System (FMS)</w:t>
      </w:r>
      <w:r w:rsidRPr="00993C9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93C9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A7D078D" w14:textId="341FDF4F" w:rsidR="00326492" w:rsidRPr="008B6441" w:rsidRDefault="00326492" w:rsidP="008B6441"/>
    <w:sectPr w:rsidR="00326492" w:rsidRPr="008B6441" w:rsidSect="00AD03C3">
      <w:pgSz w:w="12240" w:h="15840"/>
      <w:pgMar w:top="1260" w:right="720" w:bottom="13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406CF"/>
    <w:multiLevelType w:val="hybridMultilevel"/>
    <w:tmpl w:val="B488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08"/>
    <w:rsid w:val="00132587"/>
    <w:rsid w:val="00140D16"/>
    <w:rsid w:val="00172EC2"/>
    <w:rsid w:val="00216C1A"/>
    <w:rsid w:val="0025709C"/>
    <w:rsid w:val="00326492"/>
    <w:rsid w:val="00370981"/>
    <w:rsid w:val="003B0DF8"/>
    <w:rsid w:val="0045278C"/>
    <w:rsid w:val="004E06F9"/>
    <w:rsid w:val="005468ED"/>
    <w:rsid w:val="005C600A"/>
    <w:rsid w:val="0062222E"/>
    <w:rsid w:val="00641BE4"/>
    <w:rsid w:val="00642A89"/>
    <w:rsid w:val="0067069B"/>
    <w:rsid w:val="006B1FD7"/>
    <w:rsid w:val="008B6441"/>
    <w:rsid w:val="0093737C"/>
    <w:rsid w:val="00993C92"/>
    <w:rsid w:val="00AD03C3"/>
    <w:rsid w:val="00B12DAB"/>
    <w:rsid w:val="00B81E22"/>
    <w:rsid w:val="00B9287F"/>
    <w:rsid w:val="00C4389B"/>
    <w:rsid w:val="00D66092"/>
    <w:rsid w:val="00DA4E28"/>
    <w:rsid w:val="00DC4A4A"/>
    <w:rsid w:val="00E16608"/>
    <w:rsid w:val="00E40DB4"/>
    <w:rsid w:val="00EA1462"/>
    <w:rsid w:val="00EA4261"/>
    <w:rsid w:val="00F72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E784B"/>
  <w15:docId w15:val="{430C53D7-8C4B-46AD-9A0A-3D1F2A6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16608"/>
    <w:rPr>
      <w:b/>
      <w:bCs/>
    </w:rPr>
  </w:style>
  <w:style w:type="character" w:styleId="Hyperlink">
    <w:name w:val="Hyperlink"/>
    <w:basedOn w:val="DefaultParagraphFont"/>
    <w:uiPriority w:val="99"/>
    <w:unhideWhenUsed/>
    <w:rsid w:val="00E1660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25709C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57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Emphasis">
    <w:name w:val="Emphasis"/>
    <w:uiPriority w:val="99"/>
    <w:qFormat/>
    <w:rsid w:val="0025709C"/>
    <w:rPr>
      <w:rFonts w:cs="Times New Roman"/>
      <w:i/>
      <w:iCs/>
    </w:rPr>
  </w:style>
  <w:style w:type="character" w:customStyle="1" w:styleId="style2">
    <w:name w:val="style_2"/>
    <w:uiPriority w:val="99"/>
    <w:rsid w:val="0025709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2A89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3b3d6-f7ad-495b-91d5-b1ead0cff595">
      <Terms xmlns="http://schemas.microsoft.com/office/infopath/2007/PartnerControls"/>
    </lcf76f155ced4ddcb4097134ff3c332f>
    <TaxCatchAll xmlns="099b29d4-a3d8-462c-83b1-056f7d53c4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817DCD45616469854CB1A1DE924B0" ma:contentTypeVersion="13" ma:contentTypeDescription="Create a new document." ma:contentTypeScope="" ma:versionID="c3402e4676fcba0452ad0ae58ea1936d">
  <xsd:schema xmlns:xsd="http://www.w3.org/2001/XMLSchema" xmlns:xs="http://www.w3.org/2001/XMLSchema" xmlns:p="http://schemas.microsoft.com/office/2006/metadata/properties" xmlns:ns2="62f3b3d6-f7ad-495b-91d5-b1ead0cff595" xmlns:ns3="099b29d4-a3d8-462c-83b1-056f7d53c45a" xmlns:ns4="32e4c718-258e-4ec9-88a2-cae4e67492bb" targetNamespace="http://schemas.microsoft.com/office/2006/metadata/properties" ma:root="true" ma:fieldsID="268bd32d43e3ca85969ab362f496295d" ns2:_="" ns3:_="" ns4:_="">
    <xsd:import namespace="62f3b3d6-f7ad-495b-91d5-b1ead0cff595"/>
    <xsd:import namespace="099b29d4-a3d8-462c-83b1-056f7d53c45a"/>
    <xsd:import namespace="32e4c718-258e-4ec9-88a2-cae4e6749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b3d6-f7ad-495b-91d5-b1ead0cff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728a8d2-fce2-4ead-88e1-13feca968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29d4-a3d8-462c-83b1-056f7d53c4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0e276e-7d96-4acd-9135-7381c5f76900}" ma:internalName="TaxCatchAll" ma:showField="CatchAllData" ma:web="099b29d4-a3d8-462c-83b1-056f7d53c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4c718-258e-4ec9-88a2-cae4e6749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BE73D-6128-4153-AB6E-3DBB5A1B55D8}">
  <ds:schemaRefs>
    <ds:schemaRef ds:uri="http://schemas.openxmlformats.org/package/2006/metadata/core-properties"/>
    <ds:schemaRef ds:uri="http://purl.org/dc/elements/1.1/"/>
    <ds:schemaRef ds:uri="32e4c718-258e-4ec9-88a2-cae4e67492bb"/>
    <ds:schemaRef ds:uri="62f3b3d6-f7ad-495b-91d5-b1ead0cff59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099b29d4-a3d8-462c-83b1-056f7d53c45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A37B17-BEEE-42AC-AF3F-B1B4E21E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3b3d6-f7ad-495b-91d5-b1ead0cff595"/>
    <ds:schemaRef ds:uri="099b29d4-a3d8-462c-83b1-056f7d53c45a"/>
    <ds:schemaRef ds:uri="32e4c718-258e-4ec9-88a2-cae4e6749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41916-6FFA-402B-8665-E6F519B52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Keene</dc:creator>
  <cp:keywords/>
  <dc:description/>
  <cp:lastModifiedBy>Laura Van Voorhis</cp:lastModifiedBy>
  <cp:revision>4</cp:revision>
  <dcterms:created xsi:type="dcterms:W3CDTF">2022-08-17T20:59:00Z</dcterms:created>
  <dcterms:modified xsi:type="dcterms:W3CDTF">2023-02-28T15:34:00Z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0x010100BCF817DCD45616469854CB1A1DE924B0</vt:lpwstr>
  </property>
  <property fmtid="{D5CDD505-2E9C-101B-9397-08002B2CF9AE}" pid="3" name="MediaServiceImageTags">
    <vt:lpwstr/>
  </property>
</Properties>
</file>