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F7DC" w14:textId="77777777" w:rsidR="007C0CB9" w:rsidRDefault="007A2B79">
      <w:pPr>
        <w:pStyle w:val="Heading1"/>
        <w:rPr>
          <w:u w:val="none"/>
        </w:rPr>
      </w:pPr>
      <w:r>
        <w:rPr>
          <w:u w:val="thick"/>
        </w:rPr>
        <w:t>Marine Science and Oceanography Non-Thesis Comprehensive Exam Instructions</w:t>
      </w:r>
    </w:p>
    <w:p w14:paraId="5E36F7DD" w14:textId="77777777" w:rsidR="007C0CB9" w:rsidRDefault="007C0CB9">
      <w:pPr>
        <w:pStyle w:val="BodyText"/>
        <w:spacing w:before="11"/>
        <w:rPr>
          <w:b/>
          <w:sz w:val="19"/>
        </w:rPr>
      </w:pPr>
    </w:p>
    <w:p w14:paraId="5E36F7DE" w14:textId="77777777" w:rsidR="007C0CB9" w:rsidRDefault="007A2B79">
      <w:pPr>
        <w:spacing w:before="90"/>
        <w:ind w:left="120"/>
        <w:rPr>
          <w:b/>
          <w:sz w:val="24"/>
        </w:rPr>
      </w:pPr>
      <w:r>
        <w:rPr>
          <w:b/>
          <w:sz w:val="24"/>
        </w:rPr>
        <w:t>Written Comprehensive Examination Format:</w:t>
      </w:r>
    </w:p>
    <w:p w14:paraId="5E36F7DF" w14:textId="53007883" w:rsidR="007C0CB9" w:rsidRDefault="007A2B79">
      <w:pPr>
        <w:pStyle w:val="BodyText"/>
        <w:spacing w:before="21" w:line="259" w:lineRule="auto"/>
        <w:ind w:left="120" w:right="342"/>
      </w:pPr>
      <w:r>
        <w:t xml:space="preserve">To ensure that all </w:t>
      </w:r>
      <w:r>
        <w:rPr>
          <w:b/>
        </w:rPr>
        <w:t>M</w:t>
      </w:r>
      <w:r>
        <w:rPr>
          <w:b/>
        </w:rPr>
        <w:t>S</w:t>
      </w:r>
      <w:r w:rsidR="00757B99">
        <w:rPr>
          <w:b/>
        </w:rPr>
        <w:t>O</w:t>
      </w:r>
      <w:r>
        <w:rPr>
          <w:b/>
        </w:rPr>
        <w:t xml:space="preserve">/Non-Thesis </w:t>
      </w:r>
      <w:r>
        <w:t xml:space="preserve">students are examined in a thorough and equitable manner within the 3 </w:t>
      </w:r>
      <w:r>
        <w:rPr>
          <w:b/>
        </w:rPr>
        <w:t>specialty areas</w:t>
      </w:r>
      <w:r>
        <w:t>, the following are acceptable exam formats and expectations:</w:t>
      </w:r>
    </w:p>
    <w:p w14:paraId="5E36F7E0" w14:textId="77777777" w:rsidR="007C0CB9" w:rsidRDefault="007C0CB9">
      <w:pPr>
        <w:pStyle w:val="BodyText"/>
        <w:rPr>
          <w:sz w:val="26"/>
        </w:rPr>
      </w:pPr>
    </w:p>
    <w:p w14:paraId="5E36F7E1" w14:textId="77777777" w:rsidR="007C0CB9" w:rsidRDefault="007A2B79">
      <w:pPr>
        <w:pStyle w:val="ListParagraph"/>
        <w:numPr>
          <w:ilvl w:val="0"/>
          <w:numId w:val="1"/>
        </w:numPr>
        <w:tabs>
          <w:tab w:val="left" w:pos="432"/>
        </w:tabs>
        <w:spacing w:line="259" w:lineRule="auto"/>
        <w:ind w:right="954" w:firstLine="0"/>
        <w:rPr>
          <w:sz w:val="24"/>
        </w:rPr>
      </w:pPr>
      <w:r>
        <w:rPr>
          <w:sz w:val="24"/>
        </w:rPr>
        <w:t xml:space="preserve">Each written exam will be administered on the date agreed to by the </w:t>
      </w:r>
      <w:proofErr w:type="gramStart"/>
      <w:r>
        <w:rPr>
          <w:sz w:val="24"/>
        </w:rPr>
        <w:t>student</w:t>
      </w:r>
      <w:proofErr w:type="gramEnd"/>
      <w:r>
        <w:rPr>
          <w:sz w:val="24"/>
        </w:rPr>
        <w:t xml:space="preserve"> and their committee</w:t>
      </w:r>
      <w:r>
        <w:rPr>
          <w:spacing w:val="-2"/>
          <w:sz w:val="24"/>
        </w:rPr>
        <w:t xml:space="preserve"> </w:t>
      </w:r>
      <w:r>
        <w:rPr>
          <w:sz w:val="24"/>
        </w:rPr>
        <w:t>members.</w:t>
      </w:r>
    </w:p>
    <w:p w14:paraId="5E36F7E2" w14:textId="77777777" w:rsidR="007C0CB9" w:rsidRDefault="007C0CB9">
      <w:pPr>
        <w:pStyle w:val="BodyText"/>
        <w:spacing w:before="9"/>
        <w:rPr>
          <w:sz w:val="25"/>
        </w:rPr>
      </w:pPr>
    </w:p>
    <w:p w14:paraId="5E36F7E3" w14:textId="77777777" w:rsidR="007C0CB9" w:rsidRDefault="007A2B79">
      <w:pPr>
        <w:pStyle w:val="ListParagraph"/>
        <w:numPr>
          <w:ilvl w:val="0"/>
          <w:numId w:val="1"/>
        </w:numPr>
        <w:tabs>
          <w:tab w:val="left" w:pos="420"/>
        </w:tabs>
        <w:spacing w:before="1" w:line="259" w:lineRule="auto"/>
        <w:ind w:right="661" w:firstLine="0"/>
        <w:rPr>
          <w:sz w:val="24"/>
        </w:rPr>
      </w:pPr>
      <w:r>
        <w:rPr>
          <w:sz w:val="24"/>
        </w:rPr>
        <w:t>Each exam must cover one of the 3 chosen specialty areas (i.e., two committee members cannot cover the same specialty</w:t>
      </w:r>
      <w:r>
        <w:rPr>
          <w:spacing w:val="-4"/>
          <w:sz w:val="24"/>
        </w:rPr>
        <w:t xml:space="preserve"> </w:t>
      </w:r>
      <w:r>
        <w:rPr>
          <w:sz w:val="24"/>
        </w:rPr>
        <w:t>area).</w:t>
      </w:r>
    </w:p>
    <w:p w14:paraId="5E36F7E4" w14:textId="77777777" w:rsidR="007C0CB9" w:rsidRDefault="007C0CB9">
      <w:pPr>
        <w:pStyle w:val="BodyText"/>
        <w:spacing w:before="9"/>
        <w:rPr>
          <w:sz w:val="25"/>
        </w:rPr>
      </w:pPr>
    </w:p>
    <w:p w14:paraId="5E36F7E5" w14:textId="77777777" w:rsidR="007C0CB9" w:rsidRDefault="007A2B79">
      <w:pPr>
        <w:pStyle w:val="ListParagraph"/>
        <w:numPr>
          <w:ilvl w:val="0"/>
          <w:numId w:val="1"/>
        </w:numPr>
        <w:tabs>
          <w:tab w:val="left" w:pos="420"/>
        </w:tabs>
        <w:ind w:left="420" w:hanging="300"/>
        <w:rPr>
          <w:sz w:val="24"/>
        </w:rPr>
      </w:pPr>
      <w:r>
        <w:rPr>
          <w:sz w:val="24"/>
        </w:rPr>
        <w:t>Exams will consist of questions unknown to the student prior to administering the</w:t>
      </w:r>
      <w:r>
        <w:rPr>
          <w:spacing w:val="-11"/>
          <w:sz w:val="24"/>
        </w:rPr>
        <w:t xml:space="preserve"> </w:t>
      </w:r>
      <w:r>
        <w:rPr>
          <w:sz w:val="24"/>
        </w:rPr>
        <w:t>exam.</w:t>
      </w:r>
    </w:p>
    <w:p w14:paraId="5E36F7E6" w14:textId="77777777" w:rsidR="007C0CB9" w:rsidRDefault="007C0CB9">
      <w:pPr>
        <w:pStyle w:val="BodyText"/>
        <w:spacing w:before="8"/>
        <w:rPr>
          <w:sz w:val="27"/>
        </w:rPr>
      </w:pPr>
    </w:p>
    <w:p w14:paraId="5E36F7E7" w14:textId="77777777" w:rsidR="007C0CB9" w:rsidRDefault="007A2B79">
      <w:pPr>
        <w:pStyle w:val="ListParagraph"/>
        <w:numPr>
          <w:ilvl w:val="0"/>
          <w:numId w:val="1"/>
        </w:numPr>
        <w:tabs>
          <w:tab w:val="left" w:pos="432"/>
        </w:tabs>
        <w:spacing w:line="259" w:lineRule="auto"/>
        <w:ind w:right="203" w:firstLine="0"/>
        <w:rPr>
          <w:sz w:val="24"/>
        </w:rPr>
      </w:pPr>
      <w:r>
        <w:rPr>
          <w:sz w:val="24"/>
        </w:rPr>
        <w:t>Question types should require written responses; primarily, of essay and definition format.</w:t>
      </w:r>
      <w:r>
        <w:rPr>
          <w:spacing w:val="-21"/>
          <w:sz w:val="24"/>
        </w:rPr>
        <w:t xml:space="preserve"> </w:t>
      </w:r>
      <w:r>
        <w:rPr>
          <w:sz w:val="24"/>
        </w:rPr>
        <w:t>In addition to expecting a broad knowledge base covered within the 3 specialty areas, assessing written communication skills of these students is also very</w:t>
      </w:r>
      <w:r>
        <w:rPr>
          <w:spacing w:val="-6"/>
          <w:sz w:val="24"/>
        </w:rPr>
        <w:t xml:space="preserve"> </w:t>
      </w:r>
      <w:r>
        <w:rPr>
          <w:sz w:val="24"/>
        </w:rPr>
        <w:t>important.</w:t>
      </w:r>
    </w:p>
    <w:p w14:paraId="5E36F7E8" w14:textId="77777777" w:rsidR="007C0CB9" w:rsidRDefault="007C0CB9">
      <w:pPr>
        <w:pStyle w:val="BodyText"/>
        <w:rPr>
          <w:sz w:val="26"/>
        </w:rPr>
      </w:pPr>
    </w:p>
    <w:p w14:paraId="5E36F7E9" w14:textId="77777777" w:rsidR="007C0CB9" w:rsidRDefault="007A2B79">
      <w:pPr>
        <w:pStyle w:val="ListParagraph"/>
        <w:numPr>
          <w:ilvl w:val="0"/>
          <w:numId w:val="1"/>
        </w:numPr>
        <w:tabs>
          <w:tab w:val="left" w:pos="406"/>
        </w:tabs>
        <w:spacing w:line="259" w:lineRule="auto"/>
        <w:ind w:right="172" w:firstLine="0"/>
        <w:rPr>
          <w:sz w:val="24"/>
        </w:rPr>
      </w:pPr>
      <w:r>
        <w:rPr>
          <w:sz w:val="24"/>
        </w:rPr>
        <w:t>Exams should be of sufficient rigor and coverage thereby typically requiring significant study efforts by Students (which is why students are required to contact committee members the term prior to the actual exams). Committee members should provide students with reading and supplemental study suggestions upon</w:t>
      </w:r>
      <w:r>
        <w:rPr>
          <w:spacing w:val="-1"/>
          <w:sz w:val="24"/>
        </w:rPr>
        <w:t xml:space="preserve"> </w:t>
      </w:r>
      <w:r>
        <w:rPr>
          <w:sz w:val="24"/>
        </w:rPr>
        <w:t>request.</w:t>
      </w:r>
    </w:p>
    <w:p w14:paraId="5E36F7EA" w14:textId="77777777" w:rsidR="007C0CB9" w:rsidRDefault="007C0CB9">
      <w:pPr>
        <w:pStyle w:val="BodyText"/>
        <w:spacing w:before="8"/>
        <w:rPr>
          <w:sz w:val="25"/>
        </w:rPr>
      </w:pPr>
    </w:p>
    <w:p w14:paraId="5E36F7EB" w14:textId="77777777" w:rsidR="007C0CB9" w:rsidRDefault="007A2B79">
      <w:pPr>
        <w:pStyle w:val="ListParagraph"/>
        <w:numPr>
          <w:ilvl w:val="0"/>
          <w:numId w:val="1"/>
        </w:numPr>
        <w:tabs>
          <w:tab w:val="left" w:pos="392"/>
        </w:tabs>
        <w:spacing w:line="259" w:lineRule="auto"/>
        <w:ind w:left="119" w:right="126" w:firstLine="0"/>
        <w:rPr>
          <w:sz w:val="24"/>
        </w:rPr>
      </w:pPr>
      <w:r>
        <w:rPr>
          <w:sz w:val="24"/>
        </w:rPr>
        <w:t>The assumption will be that closed-book format will be used for the exam. If open-book format is used, such exams should be of sufficient rigor to be comparable to a closed-book exam. In either case, a specific timeframe must be established when the student and committee member initially meet (i.e., term before) to schedule the exam (e.g., 3 hours for a closed-book exam; due in 24 hours for an open-book</w:t>
      </w:r>
      <w:r>
        <w:rPr>
          <w:spacing w:val="-2"/>
          <w:sz w:val="24"/>
        </w:rPr>
        <w:t xml:space="preserve"> </w:t>
      </w:r>
      <w:r>
        <w:rPr>
          <w:sz w:val="24"/>
        </w:rPr>
        <w:t>exam).</w:t>
      </w:r>
    </w:p>
    <w:p w14:paraId="5E36F7EC" w14:textId="77777777" w:rsidR="007C0CB9" w:rsidRDefault="007C0CB9">
      <w:pPr>
        <w:pStyle w:val="BodyText"/>
        <w:spacing w:before="11"/>
        <w:rPr>
          <w:sz w:val="25"/>
        </w:rPr>
      </w:pPr>
    </w:p>
    <w:p w14:paraId="5E36F7ED" w14:textId="77777777" w:rsidR="007C0CB9" w:rsidRDefault="007A2B79">
      <w:pPr>
        <w:pStyle w:val="ListParagraph"/>
        <w:numPr>
          <w:ilvl w:val="0"/>
          <w:numId w:val="1"/>
        </w:numPr>
        <w:tabs>
          <w:tab w:val="left" w:pos="432"/>
        </w:tabs>
        <w:spacing w:line="259" w:lineRule="auto"/>
        <w:ind w:right="826" w:firstLine="0"/>
        <w:rPr>
          <w:sz w:val="24"/>
        </w:rPr>
      </w:pPr>
      <w:r>
        <w:rPr>
          <w:sz w:val="24"/>
        </w:rPr>
        <w:t>Previous or current course work (or associated exams therein) cannot substitute for the Comprehensive</w:t>
      </w:r>
      <w:r>
        <w:rPr>
          <w:spacing w:val="-2"/>
          <w:sz w:val="24"/>
        </w:rPr>
        <w:t xml:space="preserve"> </w:t>
      </w:r>
      <w:r>
        <w:rPr>
          <w:sz w:val="24"/>
        </w:rPr>
        <w:t>Exams.</w:t>
      </w:r>
    </w:p>
    <w:p w14:paraId="5E36F7EE" w14:textId="77777777" w:rsidR="007C0CB9" w:rsidRDefault="007C0CB9">
      <w:pPr>
        <w:pStyle w:val="BodyText"/>
        <w:spacing w:before="9"/>
        <w:rPr>
          <w:sz w:val="25"/>
        </w:rPr>
      </w:pPr>
    </w:p>
    <w:p w14:paraId="5E36F7EF" w14:textId="77777777" w:rsidR="007C0CB9" w:rsidRDefault="007A2B79">
      <w:pPr>
        <w:pStyle w:val="ListParagraph"/>
        <w:numPr>
          <w:ilvl w:val="0"/>
          <w:numId w:val="1"/>
        </w:numPr>
        <w:tabs>
          <w:tab w:val="left" w:pos="432"/>
        </w:tabs>
        <w:spacing w:line="259" w:lineRule="auto"/>
        <w:ind w:left="119" w:right="99" w:firstLine="0"/>
        <w:jc w:val="both"/>
        <w:rPr>
          <w:sz w:val="24"/>
        </w:rPr>
      </w:pPr>
      <w:r>
        <w:rPr>
          <w:sz w:val="24"/>
        </w:rPr>
        <w:t>Research papers cannot substitute for the Comprehensive Exams. Such papers, however, may supplement the written exam, if this is required by a committee member (who must articulate this to the MSO office and directors when the student schedules the</w:t>
      </w:r>
      <w:r>
        <w:rPr>
          <w:spacing w:val="-6"/>
          <w:sz w:val="24"/>
        </w:rPr>
        <w:t xml:space="preserve"> </w:t>
      </w:r>
      <w:r>
        <w:rPr>
          <w:sz w:val="24"/>
        </w:rPr>
        <w:t>exam).</w:t>
      </w:r>
    </w:p>
    <w:p w14:paraId="5E36F7F0" w14:textId="77777777" w:rsidR="007C0CB9" w:rsidRDefault="007C0CB9">
      <w:pPr>
        <w:pStyle w:val="BodyText"/>
        <w:rPr>
          <w:sz w:val="26"/>
        </w:rPr>
      </w:pPr>
    </w:p>
    <w:p w14:paraId="5E36F7F1" w14:textId="77777777" w:rsidR="007C0CB9" w:rsidRDefault="007C0CB9">
      <w:pPr>
        <w:pStyle w:val="BodyText"/>
        <w:rPr>
          <w:sz w:val="26"/>
        </w:rPr>
      </w:pPr>
    </w:p>
    <w:p w14:paraId="5E36F7F2" w14:textId="77777777" w:rsidR="007C0CB9" w:rsidRDefault="007C0CB9">
      <w:pPr>
        <w:pStyle w:val="BodyText"/>
        <w:rPr>
          <w:sz w:val="26"/>
        </w:rPr>
      </w:pPr>
    </w:p>
    <w:p w14:paraId="5E36F7F3" w14:textId="77777777" w:rsidR="007C0CB9" w:rsidRDefault="007C0CB9">
      <w:pPr>
        <w:pStyle w:val="BodyText"/>
        <w:rPr>
          <w:sz w:val="26"/>
        </w:rPr>
      </w:pPr>
    </w:p>
    <w:p w14:paraId="5E36F7F4" w14:textId="77777777" w:rsidR="007C0CB9" w:rsidRDefault="007C0CB9">
      <w:pPr>
        <w:pStyle w:val="BodyText"/>
        <w:rPr>
          <w:sz w:val="26"/>
        </w:rPr>
      </w:pPr>
    </w:p>
    <w:p w14:paraId="5E36F7F5" w14:textId="77777777" w:rsidR="007C0CB9" w:rsidRDefault="007C0CB9">
      <w:pPr>
        <w:pStyle w:val="BodyText"/>
        <w:rPr>
          <w:sz w:val="26"/>
        </w:rPr>
      </w:pPr>
    </w:p>
    <w:p w14:paraId="5E36F7F6" w14:textId="77777777" w:rsidR="007C0CB9" w:rsidRDefault="007C0CB9">
      <w:pPr>
        <w:pStyle w:val="BodyText"/>
        <w:rPr>
          <w:sz w:val="26"/>
        </w:rPr>
      </w:pPr>
    </w:p>
    <w:p w14:paraId="5E36F7F7" w14:textId="77777777" w:rsidR="007C0CB9" w:rsidRDefault="007C0CB9">
      <w:pPr>
        <w:pStyle w:val="BodyText"/>
        <w:rPr>
          <w:sz w:val="26"/>
        </w:rPr>
      </w:pPr>
    </w:p>
    <w:p w14:paraId="5E36F7F9" w14:textId="77777777" w:rsidR="007C0CB9" w:rsidRDefault="007C0CB9">
      <w:pPr>
        <w:pStyle w:val="BodyText"/>
        <w:rPr>
          <w:sz w:val="26"/>
        </w:rPr>
      </w:pPr>
    </w:p>
    <w:p w14:paraId="5E36F7FA" w14:textId="77777777" w:rsidR="007C0CB9" w:rsidRDefault="007C0CB9">
      <w:pPr>
        <w:pStyle w:val="BodyText"/>
        <w:spacing w:before="6"/>
        <w:rPr>
          <w:sz w:val="22"/>
        </w:rPr>
      </w:pPr>
    </w:p>
    <w:p w14:paraId="5E36F7FB" w14:textId="247D64A7" w:rsidR="007C0CB9" w:rsidRDefault="007A2B79">
      <w:pPr>
        <w:ind w:right="98"/>
        <w:jc w:val="right"/>
        <w:rPr>
          <w:rFonts w:ascii="Arial"/>
          <w:sz w:val="16"/>
        </w:rPr>
      </w:pPr>
      <w:r>
        <w:rPr>
          <w:rFonts w:ascii="Arial"/>
          <w:sz w:val="16"/>
        </w:rPr>
        <w:t xml:space="preserve">Rev. </w:t>
      </w:r>
      <w:r w:rsidR="00E64A03">
        <w:rPr>
          <w:rFonts w:ascii="Arial"/>
          <w:sz w:val="16"/>
        </w:rPr>
        <w:t>9</w:t>
      </w:r>
      <w:r>
        <w:rPr>
          <w:rFonts w:ascii="Arial"/>
          <w:sz w:val="16"/>
        </w:rPr>
        <w:t>/3</w:t>
      </w:r>
      <w:r w:rsidR="00E64A03">
        <w:rPr>
          <w:rFonts w:ascii="Arial"/>
          <w:sz w:val="16"/>
        </w:rPr>
        <w:t>0</w:t>
      </w:r>
      <w:r>
        <w:rPr>
          <w:rFonts w:ascii="Arial"/>
          <w:sz w:val="16"/>
        </w:rPr>
        <w:t>/2</w:t>
      </w:r>
      <w:r w:rsidR="00E64A03">
        <w:rPr>
          <w:rFonts w:ascii="Arial"/>
          <w:sz w:val="16"/>
        </w:rPr>
        <w:t>5</w:t>
      </w:r>
    </w:p>
    <w:sectPr w:rsidR="007C0CB9">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E2331"/>
    <w:multiLevelType w:val="hybridMultilevel"/>
    <w:tmpl w:val="4C804926"/>
    <w:lvl w:ilvl="0" w:tplc="BA14204E">
      <w:start w:val="1"/>
      <w:numFmt w:val="upperLetter"/>
      <w:lvlText w:val="%1)"/>
      <w:lvlJc w:val="left"/>
      <w:pPr>
        <w:ind w:left="120" w:hanging="312"/>
        <w:jc w:val="left"/>
      </w:pPr>
      <w:rPr>
        <w:rFonts w:ascii="Times New Roman" w:eastAsia="Times New Roman" w:hAnsi="Times New Roman" w:cs="Times New Roman" w:hint="default"/>
        <w:spacing w:val="-1"/>
        <w:w w:val="100"/>
        <w:sz w:val="24"/>
        <w:szCs w:val="24"/>
        <w:lang w:val="en-US" w:eastAsia="en-US" w:bidi="en-US"/>
      </w:rPr>
    </w:lvl>
    <w:lvl w:ilvl="1" w:tplc="981CF564">
      <w:numFmt w:val="bullet"/>
      <w:lvlText w:val="•"/>
      <w:lvlJc w:val="left"/>
      <w:pPr>
        <w:ind w:left="1066" w:hanging="312"/>
      </w:pPr>
      <w:rPr>
        <w:rFonts w:hint="default"/>
        <w:lang w:val="en-US" w:eastAsia="en-US" w:bidi="en-US"/>
      </w:rPr>
    </w:lvl>
    <w:lvl w:ilvl="2" w:tplc="931058A4">
      <w:numFmt w:val="bullet"/>
      <w:lvlText w:val="•"/>
      <w:lvlJc w:val="left"/>
      <w:pPr>
        <w:ind w:left="2012" w:hanging="312"/>
      </w:pPr>
      <w:rPr>
        <w:rFonts w:hint="default"/>
        <w:lang w:val="en-US" w:eastAsia="en-US" w:bidi="en-US"/>
      </w:rPr>
    </w:lvl>
    <w:lvl w:ilvl="3" w:tplc="2390D30E">
      <w:numFmt w:val="bullet"/>
      <w:lvlText w:val="•"/>
      <w:lvlJc w:val="left"/>
      <w:pPr>
        <w:ind w:left="2958" w:hanging="312"/>
      </w:pPr>
      <w:rPr>
        <w:rFonts w:hint="default"/>
        <w:lang w:val="en-US" w:eastAsia="en-US" w:bidi="en-US"/>
      </w:rPr>
    </w:lvl>
    <w:lvl w:ilvl="4" w:tplc="620AB25A">
      <w:numFmt w:val="bullet"/>
      <w:lvlText w:val="•"/>
      <w:lvlJc w:val="left"/>
      <w:pPr>
        <w:ind w:left="3904" w:hanging="312"/>
      </w:pPr>
      <w:rPr>
        <w:rFonts w:hint="default"/>
        <w:lang w:val="en-US" w:eastAsia="en-US" w:bidi="en-US"/>
      </w:rPr>
    </w:lvl>
    <w:lvl w:ilvl="5" w:tplc="C8807BEC">
      <w:numFmt w:val="bullet"/>
      <w:lvlText w:val="•"/>
      <w:lvlJc w:val="left"/>
      <w:pPr>
        <w:ind w:left="4850" w:hanging="312"/>
      </w:pPr>
      <w:rPr>
        <w:rFonts w:hint="default"/>
        <w:lang w:val="en-US" w:eastAsia="en-US" w:bidi="en-US"/>
      </w:rPr>
    </w:lvl>
    <w:lvl w:ilvl="6" w:tplc="75A24BA8">
      <w:numFmt w:val="bullet"/>
      <w:lvlText w:val="•"/>
      <w:lvlJc w:val="left"/>
      <w:pPr>
        <w:ind w:left="5796" w:hanging="312"/>
      </w:pPr>
      <w:rPr>
        <w:rFonts w:hint="default"/>
        <w:lang w:val="en-US" w:eastAsia="en-US" w:bidi="en-US"/>
      </w:rPr>
    </w:lvl>
    <w:lvl w:ilvl="7" w:tplc="BA8C27C8">
      <w:numFmt w:val="bullet"/>
      <w:lvlText w:val="•"/>
      <w:lvlJc w:val="left"/>
      <w:pPr>
        <w:ind w:left="6742" w:hanging="312"/>
      </w:pPr>
      <w:rPr>
        <w:rFonts w:hint="default"/>
        <w:lang w:val="en-US" w:eastAsia="en-US" w:bidi="en-US"/>
      </w:rPr>
    </w:lvl>
    <w:lvl w:ilvl="8" w:tplc="6BBED9F8">
      <w:numFmt w:val="bullet"/>
      <w:lvlText w:val="•"/>
      <w:lvlJc w:val="left"/>
      <w:pPr>
        <w:ind w:left="7688" w:hanging="312"/>
      </w:pPr>
      <w:rPr>
        <w:rFonts w:hint="default"/>
        <w:lang w:val="en-US" w:eastAsia="en-US" w:bidi="en-US"/>
      </w:rPr>
    </w:lvl>
  </w:abstractNum>
  <w:num w:numId="1" w16cid:durableId="44292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B9"/>
    <w:rsid w:val="0039695D"/>
    <w:rsid w:val="00757B99"/>
    <w:rsid w:val="007A2B79"/>
    <w:rsid w:val="007C0CB9"/>
    <w:rsid w:val="008D4775"/>
    <w:rsid w:val="00E6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F7DC"/>
  <w15:docId w15:val="{0A6AE0F4-D5A2-4F16-BAE1-60C06D57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9"/>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Porter</dc:creator>
  <cp:lastModifiedBy>Jessica Pettingill</cp:lastModifiedBy>
  <cp:revision>2</cp:revision>
  <cp:lastPrinted>2025-09-30T19:47:00Z</cp:lastPrinted>
  <dcterms:created xsi:type="dcterms:W3CDTF">2025-09-30T19:49:00Z</dcterms:created>
  <dcterms:modified xsi:type="dcterms:W3CDTF">2025-09-30T19:49:00Z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20 for Word</vt:lpwstr>
  </property>
  <property fmtid="{D5CDD505-2E9C-101B-9397-08002B2CF9AE}" pid="4" name="LastSaved">
    <vt:filetime>2025-09-30T00:00:00Z</vt:filetime>
  </property>
</Properties>
</file>