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E94E" w14:textId="77777777" w:rsidR="00B551BE" w:rsidRDefault="00D21E83">
      <w:pPr>
        <w:pStyle w:val="BodyText"/>
        <w:spacing w:before="77"/>
        <w:ind w:left="2459" w:right="2460"/>
        <w:jc w:val="center"/>
      </w:pPr>
      <w:r>
        <w:t>FLORIDA ATLANTIC UNIVERSITY</w:t>
      </w:r>
    </w:p>
    <w:p w14:paraId="0A033639" w14:textId="77777777" w:rsidR="00B551BE" w:rsidRDefault="00B551BE">
      <w:pPr>
        <w:pStyle w:val="BodyText"/>
        <w:spacing w:before="11"/>
        <w:rPr>
          <w:sz w:val="22"/>
        </w:rPr>
      </w:pPr>
    </w:p>
    <w:tbl>
      <w:tblPr>
        <w:tblW w:w="0" w:type="auto"/>
        <w:tblInd w:w="7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0"/>
      </w:tblGrid>
      <w:tr w:rsidR="00B551BE" w14:paraId="3934C28A" w14:textId="77777777">
        <w:trPr>
          <w:trHeight w:val="1275"/>
        </w:trPr>
        <w:tc>
          <w:tcPr>
            <w:tcW w:w="7430" w:type="dxa"/>
            <w:tcBorders>
              <w:bottom w:val="single" w:sz="8" w:space="0" w:color="000000"/>
            </w:tcBorders>
            <w:shd w:val="clear" w:color="auto" w:fill="DDD9C4"/>
          </w:tcPr>
          <w:p w14:paraId="3843D6DD" w14:textId="77777777" w:rsidR="00B551BE" w:rsidRDefault="00B551B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1D96B1EE" w14:textId="77777777" w:rsidR="00B551BE" w:rsidRDefault="00D21E83">
            <w:pPr>
              <w:pStyle w:val="TableParagraph"/>
              <w:spacing w:before="0" w:line="261" w:lineRule="auto"/>
              <w:ind w:left="2558" w:right="1121" w:hanging="1386"/>
              <w:rPr>
                <w:b/>
                <w:sz w:val="28"/>
              </w:rPr>
            </w:pPr>
            <w:r>
              <w:rPr>
                <w:b/>
                <w:sz w:val="28"/>
              </w:rPr>
              <w:t>Civil Engineering Continuing Services Shortlisted Firms</w:t>
            </w:r>
          </w:p>
        </w:tc>
      </w:tr>
      <w:tr w:rsidR="00B551BE" w14:paraId="0C163EE0" w14:textId="77777777">
        <w:trPr>
          <w:trHeight w:val="463"/>
        </w:trPr>
        <w:tc>
          <w:tcPr>
            <w:tcW w:w="7430" w:type="dxa"/>
            <w:tcBorders>
              <w:top w:val="single" w:sz="8" w:space="0" w:color="000000"/>
              <w:bottom w:val="single" w:sz="8" w:space="0" w:color="000000"/>
            </w:tcBorders>
          </w:tcPr>
          <w:p w14:paraId="3818021F" w14:textId="77777777" w:rsidR="00B551BE" w:rsidRDefault="00D21E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Kimley Horn</w:t>
            </w:r>
          </w:p>
        </w:tc>
      </w:tr>
      <w:tr w:rsidR="00B551BE" w14:paraId="03036DDF" w14:textId="77777777">
        <w:trPr>
          <w:trHeight w:val="462"/>
        </w:trPr>
        <w:tc>
          <w:tcPr>
            <w:tcW w:w="7430" w:type="dxa"/>
            <w:tcBorders>
              <w:top w:val="single" w:sz="8" w:space="0" w:color="000000"/>
              <w:bottom w:val="single" w:sz="8" w:space="0" w:color="000000"/>
            </w:tcBorders>
          </w:tcPr>
          <w:p w14:paraId="4C76C229" w14:textId="77777777" w:rsidR="00B551BE" w:rsidRDefault="00D21E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NV5</w:t>
            </w:r>
          </w:p>
        </w:tc>
      </w:tr>
      <w:tr w:rsidR="00B551BE" w14:paraId="0E132A58" w14:textId="77777777">
        <w:trPr>
          <w:trHeight w:val="462"/>
        </w:trPr>
        <w:tc>
          <w:tcPr>
            <w:tcW w:w="7430" w:type="dxa"/>
            <w:tcBorders>
              <w:top w:val="single" w:sz="8" w:space="0" w:color="000000"/>
              <w:bottom w:val="single" w:sz="8" w:space="0" w:color="000000"/>
            </w:tcBorders>
          </w:tcPr>
          <w:p w14:paraId="359AC8B9" w14:textId="77777777" w:rsidR="00B551BE" w:rsidRDefault="00D21E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Engenuity Group Inc</w:t>
            </w:r>
          </w:p>
        </w:tc>
      </w:tr>
      <w:tr w:rsidR="00B551BE" w14:paraId="5395FFF9" w14:textId="77777777">
        <w:trPr>
          <w:trHeight w:val="462"/>
        </w:trPr>
        <w:tc>
          <w:tcPr>
            <w:tcW w:w="7430" w:type="dxa"/>
            <w:tcBorders>
              <w:top w:val="single" w:sz="8" w:space="0" w:color="000000"/>
              <w:bottom w:val="single" w:sz="8" w:space="0" w:color="000000"/>
            </w:tcBorders>
          </w:tcPr>
          <w:p w14:paraId="104C20E1" w14:textId="77777777" w:rsidR="00B551BE" w:rsidRDefault="00D21E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Miller Legg</w:t>
            </w:r>
          </w:p>
        </w:tc>
      </w:tr>
      <w:tr w:rsidR="00B551BE" w14:paraId="10B1EA76" w14:textId="77777777">
        <w:trPr>
          <w:trHeight w:val="462"/>
        </w:trPr>
        <w:tc>
          <w:tcPr>
            <w:tcW w:w="7430" w:type="dxa"/>
            <w:tcBorders>
              <w:top w:val="single" w:sz="8" w:space="0" w:color="000000"/>
              <w:bottom w:val="single" w:sz="8" w:space="0" w:color="000000"/>
            </w:tcBorders>
          </w:tcPr>
          <w:p w14:paraId="3C89E20D" w14:textId="4B0310AB" w:rsidR="00B551BE" w:rsidRDefault="00D21E8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CPH Consulting, LLC</w:t>
            </w:r>
          </w:p>
        </w:tc>
      </w:tr>
      <w:tr w:rsidR="00B551BE" w14:paraId="04786641" w14:textId="77777777">
        <w:trPr>
          <w:trHeight w:val="227"/>
        </w:trPr>
        <w:tc>
          <w:tcPr>
            <w:tcW w:w="7430" w:type="dxa"/>
            <w:tcBorders>
              <w:top w:val="single" w:sz="8" w:space="0" w:color="000000"/>
              <w:bottom w:val="single" w:sz="8" w:space="0" w:color="000000"/>
            </w:tcBorders>
          </w:tcPr>
          <w:p w14:paraId="147C6D43" w14:textId="77777777" w:rsidR="00B551BE" w:rsidRDefault="00D21E83">
            <w:pPr>
              <w:pStyle w:val="TableParagraph"/>
              <w:spacing w:before="0"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Graef</w:t>
            </w:r>
          </w:p>
        </w:tc>
      </w:tr>
    </w:tbl>
    <w:p w14:paraId="19F786F6" w14:textId="77777777" w:rsidR="00B551BE" w:rsidRDefault="00B551BE">
      <w:pPr>
        <w:pStyle w:val="BodyText"/>
        <w:spacing w:after="1"/>
        <w:rPr>
          <w:sz w:val="28"/>
        </w:rPr>
      </w:pPr>
    </w:p>
    <w:tbl>
      <w:tblPr>
        <w:tblW w:w="0" w:type="auto"/>
        <w:tblInd w:w="5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8"/>
      </w:tblGrid>
      <w:tr w:rsidR="00B551BE" w14:paraId="7205BF73" w14:textId="77777777">
        <w:trPr>
          <w:trHeight w:val="1101"/>
        </w:trPr>
        <w:tc>
          <w:tcPr>
            <w:tcW w:w="7468" w:type="dxa"/>
          </w:tcPr>
          <w:p w14:paraId="48013973" w14:textId="77777777" w:rsidR="00B551BE" w:rsidRDefault="00D21E83">
            <w:pPr>
              <w:pStyle w:val="TableParagraph"/>
              <w:spacing w:before="0" w:line="259" w:lineRule="auto"/>
              <w:ind w:left="200"/>
              <w:rPr>
                <w:i/>
              </w:rPr>
            </w:pPr>
            <w:r>
              <w:rPr>
                <w:i/>
              </w:rPr>
              <w:t>Interviews of the shortlisted firms are scheduled for July 16, 2025. Firms will be notified as to their interview time and presentation format in the official shortlist notification letters.</w:t>
            </w:r>
          </w:p>
        </w:tc>
      </w:tr>
      <w:tr w:rsidR="00B551BE" w14:paraId="1367D259" w14:textId="77777777">
        <w:trPr>
          <w:trHeight w:val="1120"/>
        </w:trPr>
        <w:tc>
          <w:tcPr>
            <w:tcW w:w="7468" w:type="dxa"/>
          </w:tcPr>
          <w:p w14:paraId="618E9457" w14:textId="77777777" w:rsidR="00B551BE" w:rsidRDefault="00B551BE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35DDA74C" w14:textId="77777777" w:rsidR="00B551BE" w:rsidRDefault="00D21E83">
            <w:pPr>
              <w:pStyle w:val="TableParagraph"/>
              <w:spacing w:before="0" w:line="280" w:lineRule="atLeast"/>
              <w:ind w:left="200"/>
              <w:rPr>
                <w:b/>
              </w:rPr>
            </w:pPr>
            <w:r>
              <w:rPr>
                <w:b/>
                <w:color w:val="C0504D"/>
                <w:u w:val="thick" w:color="C0504D"/>
              </w:rPr>
              <w:t>NOTE:</w:t>
            </w:r>
            <w:r>
              <w:rPr>
                <w:b/>
                <w:color w:val="C0504D"/>
              </w:rPr>
              <w:t xml:space="preserve"> </w:t>
            </w:r>
            <w:r>
              <w:rPr>
                <w:b/>
              </w:rPr>
              <w:t>Failure to file a protest within the time prescribed in s 120.57(3), Florida Statutes, shall constitute a waiver of proceedings under Chapter 120, Florida Statutes.</w:t>
            </w:r>
          </w:p>
        </w:tc>
      </w:tr>
    </w:tbl>
    <w:p w14:paraId="10FD5B9A" w14:textId="77777777" w:rsidR="00D21E83" w:rsidRDefault="00D21E83"/>
    <w:sectPr w:rsidR="00D21E83">
      <w:type w:val="continuous"/>
      <w:pgSz w:w="12240" w:h="15840"/>
      <w:pgMar w:top="10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1BE"/>
    <w:rsid w:val="00226D88"/>
    <w:rsid w:val="003154DD"/>
    <w:rsid w:val="00463375"/>
    <w:rsid w:val="00951310"/>
    <w:rsid w:val="00B551BE"/>
    <w:rsid w:val="00D2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72BBB"/>
  <w15:docId w15:val="{284E3C0D-FBC5-46F4-BC93-D23BF602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8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ccapelet</dc:creator>
  <cp:lastModifiedBy>Corrine Okun</cp:lastModifiedBy>
  <cp:revision>5</cp:revision>
  <dcterms:created xsi:type="dcterms:W3CDTF">2025-06-19T14:39:00Z</dcterms:created>
  <dcterms:modified xsi:type="dcterms:W3CDTF">2025-06-19T14:46:00Z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2025-06-19T00:00:00Z</vt:filetime>
  </property>
</Properties>
</file>