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47"/>
        <w:gridCol w:w="7750"/>
        <w:gridCol w:w="357"/>
        <w:gridCol w:w="360"/>
        <w:gridCol w:w="360"/>
        <w:gridCol w:w="5126"/>
      </w:tblGrid>
      <w:tr w:rsidR="0048611A" w:rsidTr="0048611A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48611A" w:rsidRPr="00832D1F" w:rsidRDefault="0048611A" w:rsidP="0048611A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Y    N   N/A                                     Comments</w:t>
            </w:r>
          </w:p>
        </w:tc>
      </w:tr>
      <w:tr w:rsidR="0048611A" w:rsidTr="005D43E4">
        <w:tc>
          <w:tcPr>
            <w:tcW w:w="5000" w:type="pct"/>
            <w:gridSpan w:val="6"/>
            <w:shd w:val="clear" w:color="auto" w:fill="BFBFBF" w:themeFill="background1" w:themeFillShade="BF"/>
          </w:tcPr>
          <w:p w:rsidR="0048611A" w:rsidRPr="00832D1F" w:rsidRDefault="0048611A" w:rsidP="005D43E4">
            <w:pPr>
              <w:rPr>
                <w:b/>
              </w:rPr>
            </w:pPr>
            <w:r w:rsidRPr="00832D1F">
              <w:rPr>
                <w:b/>
              </w:rPr>
              <w:t xml:space="preserve">Radiation Safety </w:t>
            </w:r>
          </w:p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1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Room is authorized by FAU's State of Florida Radioactive Materials License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2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Caution, Radioactive Material signs posted on entrance doors (64E-5.322)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3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Equipment, containers, &amp; storage areas properly labeled (64E-5.325, .1316(7))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4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Emergency procedures posted (64E-5.901(1)(f))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5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Notice to Employees (Form DH-1081) posted. (64E-5.901(3))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6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EH&amp;S Waste Guidelines posted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7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Radioactive material secured against unauthorized access/removal (64E-5.320)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8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Appropriate shielding of radioactive materials (64E-5.303(2))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9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Radioactive material users have received initial training (64E-5.1307)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10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Radioactive material users have received refresher training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11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Inventory records are maintained for 3 years (64E-5.303)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12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Survey records are maintained for 3 years (64E-5.1319(3), .336)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13</w:t>
            </w:r>
          </w:p>
        </w:tc>
        <w:tc>
          <w:tcPr>
            <w:tcW w:w="2691" w:type="pct"/>
          </w:tcPr>
          <w:p w:rsidR="0048611A" w:rsidRPr="00922CDF" w:rsidRDefault="0048611A" w:rsidP="005D43E4">
            <w:r w:rsidRPr="00922CDF">
              <w:t>Survey instrument available (64E-5.1318(1)(3))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14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Survey instrument calibrated within the last year (64E-5.314(2))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15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Liquid Scintillation Counter calibrated annually (64E-5.314(2))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16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Waste is properly labeled (64E-5.1316(6))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17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Waste is properly shielded (64E-5.1316(5))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18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Removable contamination surveys performed as required (64E-5.314, .1319)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19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Radiation level surveys performed at required frequency (64E-5.1319(1))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20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Radioactive materials users wear appropriate PPE (64E-5.1316(1)(2))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21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Fume hood functioning properly (64E-5.1317)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22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Individuals wear whole body TLDs as required (64E-5.1316(5), .1310(4)(5)(6))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23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Individuals wear extremity TLDs as required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24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No evidence of eating, drinking, or applying cosmetics (64E-5.1316(3))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25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No storage of food, drink, or personal effects in restricted area (64E-5.1316(4))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26</w:t>
            </w:r>
          </w:p>
        </w:tc>
        <w:tc>
          <w:tcPr>
            <w:tcW w:w="2691" w:type="pct"/>
          </w:tcPr>
          <w:p w:rsidR="0048611A" w:rsidRPr="00471D57" w:rsidRDefault="0048611A" w:rsidP="005D43E4">
            <w:r w:rsidRPr="00471D57">
              <w:t>No radioactive contamination detected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  <w:tr w:rsidR="0048611A" w:rsidTr="005D43E4">
        <w:tc>
          <w:tcPr>
            <w:tcW w:w="155" w:type="pct"/>
          </w:tcPr>
          <w:p w:rsidR="0048611A" w:rsidRDefault="0048611A" w:rsidP="005D43E4">
            <w:r>
              <w:t>27</w:t>
            </w:r>
          </w:p>
        </w:tc>
        <w:tc>
          <w:tcPr>
            <w:tcW w:w="2691" w:type="pct"/>
          </w:tcPr>
          <w:p w:rsidR="0048611A" w:rsidRPr="00471D57" w:rsidRDefault="0048611A" w:rsidP="005D43E4">
            <w:r>
              <w:t xml:space="preserve">Radiation levels less than 2 </w:t>
            </w:r>
            <w:proofErr w:type="spellStart"/>
            <w:r>
              <w:t>mR</w:t>
            </w:r>
            <w:proofErr w:type="spellEnd"/>
            <w:r>
              <w:t xml:space="preserve"> in any one hour</w:t>
            </w:r>
          </w:p>
        </w:tc>
        <w:tc>
          <w:tcPr>
            <w:tcW w:w="124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25" w:type="pct"/>
          </w:tcPr>
          <w:p w:rsidR="0048611A" w:rsidRDefault="0048611A" w:rsidP="005D43E4"/>
        </w:tc>
        <w:tc>
          <w:tcPr>
            <w:tcW w:w="1780" w:type="pct"/>
          </w:tcPr>
          <w:p w:rsidR="0048611A" w:rsidRDefault="0048611A" w:rsidP="005D43E4"/>
        </w:tc>
      </w:tr>
    </w:tbl>
    <w:p w:rsidR="00DD4221" w:rsidRDefault="00A73F2F"/>
    <w:sectPr w:rsidR="00DD4221" w:rsidSect="0048611A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2F" w:rsidRDefault="00A73F2F" w:rsidP="0048611A">
      <w:pPr>
        <w:spacing w:after="0" w:line="240" w:lineRule="auto"/>
      </w:pPr>
      <w:r>
        <w:separator/>
      </w:r>
    </w:p>
  </w:endnote>
  <w:endnote w:type="continuationSeparator" w:id="0">
    <w:p w:rsidR="00A73F2F" w:rsidRDefault="00A73F2F" w:rsidP="0048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11A" w:rsidRPr="0048611A" w:rsidRDefault="0048611A" w:rsidP="0048611A">
    <w:pPr>
      <w:pStyle w:val="Footer"/>
      <w:jc w:val="center"/>
    </w:pPr>
    <w: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2F" w:rsidRDefault="00A73F2F" w:rsidP="0048611A">
      <w:pPr>
        <w:spacing w:after="0" w:line="240" w:lineRule="auto"/>
      </w:pPr>
      <w:r>
        <w:separator/>
      </w:r>
    </w:p>
  </w:footnote>
  <w:footnote w:type="continuationSeparator" w:id="0">
    <w:p w:rsidR="00A73F2F" w:rsidRDefault="00A73F2F" w:rsidP="0048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11A" w:rsidRDefault="00194887" w:rsidP="0048611A">
    <w:pPr>
      <w:jc w:val="center"/>
    </w:pPr>
    <w:r>
      <w:t xml:space="preserve">Laboratory Safety Inspection Form for </w:t>
    </w:r>
    <w:r w:rsidR="0048611A">
      <w:t>Radiation</w:t>
    </w:r>
    <w:r>
      <w:t xml:space="preserve"> Safety</w:t>
    </w:r>
  </w:p>
  <w:p w:rsidR="0048611A" w:rsidRDefault="0048611A" w:rsidP="0048611A">
    <w:r>
      <w:t>Building:  ______________________</w:t>
    </w:r>
    <w:r>
      <w:tab/>
      <w:t>Department:  ____________________</w:t>
    </w:r>
    <w:r>
      <w:tab/>
      <w:t>Room(s):  ______________________</w:t>
    </w:r>
    <w:r>
      <w:tab/>
      <w:t>Contact Person:  __________________</w:t>
    </w:r>
  </w:p>
  <w:p w:rsidR="0048611A" w:rsidRDefault="0048611A" w:rsidP="0048611A">
    <w:r>
      <w:t>Inspection Performed by:  ______________________________</w:t>
    </w:r>
    <w:r>
      <w:tab/>
      <w:t>Organization:  __________________________</w:t>
    </w:r>
    <w:r>
      <w:tab/>
    </w:r>
    <w:r>
      <w:tab/>
      <w:t>Date:  ___________________________</w:t>
    </w:r>
    <w:r>
      <w:tab/>
      <w:t xml:space="preserve">        </w:t>
    </w:r>
  </w:p>
  <w:p w:rsidR="0048611A" w:rsidRDefault="004861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1A"/>
    <w:rsid w:val="00194887"/>
    <w:rsid w:val="003A7875"/>
    <w:rsid w:val="0048611A"/>
    <w:rsid w:val="006E75D0"/>
    <w:rsid w:val="00823655"/>
    <w:rsid w:val="00A73F2F"/>
    <w:rsid w:val="00C13311"/>
    <w:rsid w:val="00D1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F367-90EC-41C0-9112-4E6AE6BD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11A"/>
  </w:style>
  <w:style w:type="paragraph" w:styleId="Footer">
    <w:name w:val="footer"/>
    <w:basedOn w:val="Normal"/>
    <w:link w:val="FooterChar"/>
    <w:uiPriority w:val="99"/>
    <w:unhideWhenUsed/>
    <w:rsid w:val="0048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Ash Graves</dc:creator>
  <cp:keywords/>
  <dc:description/>
  <cp:lastModifiedBy>Wendy Ash Graves</cp:lastModifiedBy>
  <cp:revision>2</cp:revision>
  <dcterms:created xsi:type="dcterms:W3CDTF">2018-03-07T19:38:00Z</dcterms:created>
  <dcterms:modified xsi:type="dcterms:W3CDTF">2018-03-07T19:38:00Z</dcterms:modified>
</cp:coreProperties>
</file>