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30637" w14:textId="77777777" w:rsidR="003C3EC8" w:rsidRPr="00033FA4" w:rsidRDefault="007D4925" w:rsidP="00684F41">
      <w:pPr>
        <w:pStyle w:val="BodyText"/>
        <w:spacing w:before="52"/>
        <w:ind w:left="0"/>
        <w:rPr>
          <w:rFonts w:asciiTheme="minorHAnsi" w:hAnsiTheme="minorHAnsi" w:cstheme="minorHAnsi"/>
          <w:b/>
          <w:sz w:val="28"/>
          <w:szCs w:val="22"/>
        </w:rPr>
      </w:pPr>
      <w:r w:rsidRPr="00033FA4">
        <w:rPr>
          <w:rFonts w:asciiTheme="minorHAnsi" w:hAnsiTheme="minorHAnsi" w:cstheme="minorHAnsi"/>
          <w:b/>
          <w:sz w:val="28"/>
          <w:szCs w:val="22"/>
        </w:rPr>
        <w:t>Department of Political Science Criteria and Procedure for Promotion and Tenure</w:t>
      </w:r>
    </w:p>
    <w:p w14:paraId="7AC30F5F" w14:textId="77777777" w:rsidR="00A91CFD" w:rsidRPr="00666C4F" w:rsidRDefault="007D4925" w:rsidP="00684F41">
      <w:pPr>
        <w:pStyle w:val="BodyText"/>
        <w:ind w:left="0"/>
        <w:rPr>
          <w:rFonts w:asciiTheme="minorHAnsi" w:hAnsiTheme="minorHAnsi" w:cstheme="minorHAnsi"/>
          <w:sz w:val="22"/>
          <w:szCs w:val="22"/>
        </w:rPr>
      </w:pPr>
      <w:r w:rsidRPr="00666C4F" w:rsidDel="629B3AC7">
        <w:rPr>
          <w:rFonts w:asciiTheme="minorHAnsi" w:hAnsiTheme="minorHAnsi" w:cstheme="minorHAnsi"/>
          <w:sz w:val="22"/>
          <w:szCs w:val="22"/>
        </w:rPr>
        <w:t xml:space="preserve">Adopted by the Department </w:t>
      </w:r>
    </w:p>
    <w:p w14:paraId="0A37501D" w14:textId="76F200FD" w:rsidR="003C3EC8" w:rsidRPr="00666C4F" w:rsidRDefault="00666C4F">
      <w:pPr>
        <w:rPr>
          <w:rFonts w:eastAsia="Times New Roman" w:cstheme="minorHAnsi"/>
        </w:rPr>
      </w:pPr>
      <w:r w:rsidRPr="00666C4F">
        <w:rPr>
          <w:rFonts w:eastAsia="Times New Roman" w:cstheme="minorHAnsi"/>
        </w:rPr>
        <w:t>Approved by Provost, Spring 2021</w:t>
      </w:r>
    </w:p>
    <w:p w14:paraId="3D1CE1A5" w14:textId="77777777" w:rsidR="00666C4F" w:rsidRPr="00666C4F" w:rsidRDefault="00666C4F">
      <w:pPr>
        <w:rPr>
          <w:rFonts w:eastAsia="Times New Roman" w:cstheme="minorHAnsi"/>
        </w:rPr>
      </w:pPr>
    </w:p>
    <w:p w14:paraId="760FFD1B" w14:textId="0B924C80" w:rsidR="00211C65" w:rsidRPr="00666C4F" w:rsidRDefault="00DA2A46" w:rsidP="00684F41">
      <w:pPr>
        <w:pStyle w:val="Heading1"/>
        <w:tabs>
          <w:tab w:val="left" w:pos="314"/>
        </w:tabs>
        <w:ind w:left="0" w:firstLine="0"/>
        <w:rPr>
          <w:rFonts w:asciiTheme="minorHAnsi" w:hAnsiTheme="minorHAnsi" w:cstheme="minorHAnsi"/>
          <w:b w:val="0"/>
          <w:bCs w:val="0"/>
          <w:sz w:val="22"/>
          <w:szCs w:val="22"/>
        </w:rPr>
      </w:pPr>
      <w:r w:rsidRPr="00666C4F">
        <w:rPr>
          <w:rFonts w:asciiTheme="minorHAnsi" w:hAnsiTheme="minorHAnsi" w:cstheme="minorHAnsi"/>
          <w:sz w:val="22"/>
          <w:szCs w:val="22"/>
        </w:rPr>
        <w:t>A</w:t>
      </w:r>
      <w:r w:rsidR="00FA0D6B" w:rsidRPr="00666C4F">
        <w:rPr>
          <w:rFonts w:asciiTheme="minorHAnsi" w:hAnsiTheme="minorHAnsi" w:cstheme="minorHAnsi"/>
          <w:sz w:val="22"/>
          <w:szCs w:val="22"/>
        </w:rPr>
        <w:t>RTICLE</w:t>
      </w:r>
      <w:r w:rsidRPr="00666C4F">
        <w:rPr>
          <w:rFonts w:asciiTheme="minorHAnsi" w:hAnsiTheme="minorHAnsi" w:cstheme="minorHAnsi"/>
          <w:sz w:val="22"/>
          <w:szCs w:val="22"/>
        </w:rPr>
        <w:t xml:space="preserve"> 1. P</w:t>
      </w:r>
      <w:r w:rsidR="00FA0D6B" w:rsidRPr="00666C4F">
        <w:rPr>
          <w:rFonts w:asciiTheme="minorHAnsi" w:hAnsiTheme="minorHAnsi" w:cstheme="minorHAnsi"/>
          <w:sz w:val="22"/>
          <w:szCs w:val="22"/>
        </w:rPr>
        <w:t>RE-TENURE</w:t>
      </w:r>
    </w:p>
    <w:p w14:paraId="2C0637F4" w14:textId="77777777" w:rsidR="00211C65" w:rsidRPr="00666C4F" w:rsidRDefault="00211C65" w:rsidP="0066640F">
      <w:pPr>
        <w:pStyle w:val="Heading1"/>
        <w:tabs>
          <w:tab w:val="left" w:pos="314"/>
        </w:tabs>
        <w:ind w:left="0" w:firstLine="0"/>
        <w:rPr>
          <w:rFonts w:asciiTheme="minorHAnsi" w:hAnsiTheme="minorHAnsi" w:cstheme="minorHAnsi"/>
          <w:sz w:val="22"/>
          <w:szCs w:val="22"/>
        </w:rPr>
      </w:pPr>
    </w:p>
    <w:p w14:paraId="6A762247" w14:textId="372F6A24" w:rsidR="003C3EC8" w:rsidRPr="00666C4F" w:rsidRDefault="00211C65" w:rsidP="00FA0D6B">
      <w:pPr>
        <w:pStyle w:val="Heading1"/>
        <w:tabs>
          <w:tab w:val="left" w:pos="314"/>
        </w:tabs>
        <w:ind w:left="0" w:firstLine="0"/>
        <w:rPr>
          <w:rFonts w:asciiTheme="minorHAnsi" w:hAnsiTheme="minorHAnsi" w:cstheme="minorHAnsi"/>
          <w:b w:val="0"/>
          <w:bCs w:val="0"/>
          <w:sz w:val="22"/>
          <w:szCs w:val="22"/>
        </w:rPr>
      </w:pPr>
      <w:r w:rsidRPr="00666C4F">
        <w:rPr>
          <w:rFonts w:asciiTheme="minorHAnsi" w:hAnsiTheme="minorHAnsi" w:cstheme="minorHAnsi"/>
          <w:sz w:val="22"/>
          <w:szCs w:val="22"/>
        </w:rPr>
        <w:t xml:space="preserve">A. </w:t>
      </w:r>
      <w:r w:rsidR="007D4925" w:rsidRPr="00666C4F">
        <w:rPr>
          <w:rFonts w:asciiTheme="minorHAnsi" w:hAnsiTheme="minorHAnsi" w:cstheme="minorHAnsi"/>
          <w:sz w:val="22"/>
          <w:szCs w:val="22"/>
        </w:rPr>
        <w:t>General Policy</w:t>
      </w:r>
      <w:r w:rsidR="00DA2A46" w:rsidRPr="00666C4F">
        <w:rPr>
          <w:rFonts w:asciiTheme="minorHAnsi" w:hAnsiTheme="minorHAnsi" w:cstheme="minorHAnsi"/>
          <w:sz w:val="22"/>
          <w:szCs w:val="22"/>
        </w:rPr>
        <w:t xml:space="preserve">: </w:t>
      </w:r>
    </w:p>
    <w:p w14:paraId="5A2FB2CA" w14:textId="216FB974" w:rsidR="003C3EC8" w:rsidRPr="00666C4F" w:rsidRDefault="007D4925" w:rsidP="00FA0D6B">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The Department adopts the following criteria and procedures for promotion and tenure.</w:t>
      </w:r>
      <w:r w:rsidR="00DA2A46" w:rsidRPr="00666C4F">
        <w:rPr>
          <w:rFonts w:asciiTheme="minorHAnsi" w:hAnsiTheme="minorHAnsi" w:cstheme="minorHAnsi"/>
          <w:sz w:val="22"/>
          <w:szCs w:val="22"/>
        </w:rPr>
        <w:t xml:space="preserve"> Al</w:t>
      </w:r>
      <w:r w:rsidRPr="00666C4F">
        <w:rPr>
          <w:rFonts w:asciiTheme="minorHAnsi" w:hAnsiTheme="minorHAnsi" w:cstheme="minorHAnsi"/>
          <w:sz w:val="22"/>
          <w:szCs w:val="22"/>
        </w:rPr>
        <w:t>l tenured and tenure-track faculty have similar teaching assignments.</w:t>
      </w:r>
      <w:r w:rsidR="00DA2A46" w:rsidRPr="00666C4F">
        <w:rPr>
          <w:rFonts w:asciiTheme="minorHAnsi" w:hAnsiTheme="minorHAnsi" w:cstheme="minorHAnsi"/>
          <w:sz w:val="22"/>
          <w:szCs w:val="22"/>
        </w:rPr>
        <w:t xml:space="preserve"> </w:t>
      </w:r>
      <w:r w:rsidRPr="00666C4F">
        <w:rPr>
          <w:rFonts w:asciiTheme="minorHAnsi" w:hAnsiTheme="minorHAnsi" w:cstheme="minorHAnsi"/>
          <w:sz w:val="22"/>
          <w:szCs w:val="22"/>
        </w:rPr>
        <w:t xml:space="preserve">Tenured faculty with more than 50% of time assigned to the </w:t>
      </w:r>
      <w:r w:rsidR="01D37B9E" w:rsidRPr="00666C4F">
        <w:rPr>
          <w:rFonts w:asciiTheme="minorHAnsi" w:hAnsiTheme="minorHAnsi" w:cstheme="minorHAnsi"/>
          <w:sz w:val="22"/>
          <w:szCs w:val="22"/>
        </w:rPr>
        <w:t>D</w:t>
      </w:r>
      <w:r w:rsidRPr="00666C4F">
        <w:rPr>
          <w:rFonts w:asciiTheme="minorHAnsi" w:hAnsiTheme="minorHAnsi" w:cstheme="minorHAnsi"/>
          <w:sz w:val="22"/>
          <w:szCs w:val="22"/>
        </w:rPr>
        <w:t>epartment are</w:t>
      </w:r>
      <w:r w:rsidR="005B02BC" w:rsidRPr="00666C4F">
        <w:rPr>
          <w:rFonts w:asciiTheme="minorHAnsi" w:hAnsiTheme="minorHAnsi" w:cstheme="minorHAnsi"/>
          <w:sz w:val="22"/>
          <w:szCs w:val="22"/>
        </w:rPr>
        <w:t xml:space="preserve"> </w:t>
      </w:r>
      <w:r w:rsidRPr="00666C4F">
        <w:rPr>
          <w:rFonts w:asciiTheme="minorHAnsi" w:hAnsiTheme="minorHAnsi" w:cstheme="minorHAnsi"/>
          <w:sz w:val="22"/>
          <w:szCs w:val="22"/>
        </w:rPr>
        <w:t xml:space="preserve">eligible to vote on promotion and tenure. Only </w:t>
      </w:r>
      <w:r w:rsidR="01D37B9E" w:rsidRPr="00666C4F">
        <w:rPr>
          <w:rFonts w:asciiTheme="minorHAnsi" w:hAnsiTheme="minorHAnsi" w:cstheme="minorHAnsi"/>
          <w:sz w:val="22"/>
          <w:szCs w:val="22"/>
        </w:rPr>
        <w:t>t</w:t>
      </w:r>
      <w:r w:rsidRPr="00666C4F">
        <w:rPr>
          <w:rFonts w:asciiTheme="minorHAnsi" w:hAnsiTheme="minorHAnsi" w:cstheme="minorHAnsi"/>
          <w:sz w:val="22"/>
          <w:szCs w:val="22"/>
        </w:rPr>
        <w:t>enured Associate Professors and Professors are</w:t>
      </w:r>
      <w:r w:rsidR="005B02BC" w:rsidRPr="00666C4F">
        <w:rPr>
          <w:rFonts w:asciiTheme="minorHAnsi" w:hAnsiTheme="minorHAnsi" w:cstheme="minorHAnsi"/>
          <w:sz w:val="22"/>
          <w:szCs w:val="22"/>
        </w:rPr>
        <w:t xml:space="preserve"> </w:t>
      </w:r>
      <w:r w:rsidRPr="00666C4F">
        <w:rPr>
          <w:rFonts w:asciiTheme="minorHAnsi" w:hAnsiTheme="minorHAnsi" w:cstheme="minorHAnsi"/>
          <w:sz w:val="22"/>
          <w:szCs w:val="22"/>
        </w:rPr>
        <w:t>eligible to vote on promotion to Associate Professor and tenure. Only Professors are eligible to vote on promotion to Professor. The Department Chair does not vote on promotion or tenure.</w:t>
      </w:r>
    </w:p>
    <w:p w14:paraId="5DAB6C7B" w14:textId="77777777" w:rsidR="003C3EC8" w:rsidRPr="00666C4F" w:rsidRDefault="003C3EC8" w:rsidP="00FA0D6B">
      <w:pPr>
        <w:jc w:val="both"/>
        <w:rPr>
          <w:rFonts w:eastAsia="Times New Roman" w:cstheme="minorHAnsi"/>
        </w:rPr>
      </w:pPr>
    </w:p>
    <w:p w14:paraId="147F8CF7" w14:textId="52AD0BB6" w:rsidR="003C3EC8" w:rsidRPr="00666C4F" w:rsidRDefault="007D4925" w:rsidP="00FA0D6B">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Candidates should consult the current</w:t>
      </w:r>
      <w:r w:rsidR="005B02BC" w:rsidRPr="00666C4F">
        <w:rPr>
          <w:rFonts w:asciiTheme="minorHAnsi" w:hAnsiTheme="minorHAnsi" w:cstheme="minorHAnsi"/>
          <w:sz w:val="22"/>
          <w:szCs w:val="22"/>
        </w:rPr>
        <w:t xml:space="preserve"> version of the </w:t>
      </w:r>
      <w:r w:rsidRPr="00666C4F">
        <w:rPr>
          <w:rFonts w:asciiTheme="minorHAnsi" w:hAnsiTheme="minorHAnsi" w:cstheme="minorHAnsi"/>
          <w:sz w:val="22"/>
          <w:szCs w:val="22"/>
        </w:rPr>
        <w:t>University Promotion and Tenure Guidelines</w:t>
      </w:r>
      <w:r w:rsidR="005B02BC" w:rsidRPr="00666C4F">
        <w:rPr>
          <w:rFonts w:asciiTheme="minorHAnsi" w:hAnsiTheme="minorHAnsi" w:cstheme="minorHAnsi"/>
          <w:sz w:val="22"/>
          <w:szCs w:val="22"/>
        </w:rPr>
        <w:t xml:space="preserve"> </w:t>
      </w:r>
      <w:r w:rsidR="01D37B9E" w:rsidRPr="00666C4F">
        <w:rPr>
          <w:rFonts w:asciiTheme="minorHAnsi" w:hAnsiTheme="minorHAnsi" w:cstheme="minorHAnsi"/>
          <w:sz w:val="22"/>
          <w:szCs w:val="22"/>
        </w:rPr>
        <w:t xml:space="preserve">document </w:t>
      </w:r>
      <w:r w:rsidRPr="00666C4F">
        <w:rPr>
          <w:rFonts w:asciiTheme="minorHAnsi" w:hAnsiTheme="minorHAnsi" w:cstheme="minorHAnsi"/>
          <w:sz w:val="22"/>
          <w:szCs w:val="22"/>
        </w:rPr>
        <w:t>for guidance on promotion and tenure procedures and expectations. Tenure shall be considered during the sixth year of continuous service as an Assistant Professor, unless the candidate’s letter of offer includes credit toward tenure or the Provost approves the candidate’s written request for earlier consideration.</w:t>
      </w:r>
    </w:p>
    <w:p w14:paraId="2D42E45E" w14:textId="1C3AFA8C" w:rsidR="01D37B9E" w:rsidRPr="00666C4F" w:rsidRDefault="01D37B9E" w:rsidP="0066640F">
      <w:pPr>
        <w:pStyle w:val="BodyText"/>
        <w:ind w:left="0"/>
        <w:rPr>
          <w:rFonts w:asciiTheme="minorHAnsi" w:hAnsiTheme="minorHAnsi" w:cstheme="minorHAnsi"/>
          <w:sz w:val="22"/>
          <w:szCs w:val="22"/>
        </w:rPr>
      </w:pPr>
    </w:p>
    <w:p w14:paraId="40470557" w14:textId="5D17DE66" w:rsidR="01D37B9E" w:rsidRPr="00666C4F" w:rsidRDefault="00211C65" w:rsidP="00684F41">
      <w:pPr>
        <w:rPr>
          <w:rFonts w:cstheme="minorHAnsi"/>
        </w:rPr>
      </w:pPr>
      <w:r w:rsidRPr="00666C4F">
        <w:rPr>
          <w:rFonts w:eastAsia="Times New Roman" w:cstheme="minorHAnsi"/>
          <w:b/>
          <w:bCs/>
        </w:rPr>
        <w:t>B</w:t>
      </w:r>
      <w:r w:rsidR="01D37B9E" w:rsidRPr="00666C4F">
        <w:rPr>
          <w:rFonts w:eastAsia="Times New Roman" w:cstheme="minorHAnsi"/>
          <w:b/>
          <w:bCs/>
        </w:rPr>
        <w:t>. Promotion to Assistant Professo</w:t>
      </w:r>
      <w:r w:rsidR="00DA2A46" w:rsidRPr="00666C4F">
        <w:rPr>
          <w:rFonts w:eastAsia="Times New Roman" w:cstheme="minorHAnsi"/>
          <w:b/>
          <w:bCs/>
        </w:rPr>
        <w:t>r:</w:t>
      </w:r>
    </w:p>
    <w:p w14:paraId="12CC8135" w14:textId="0B4EFCE9" w:rsidR="005B02BC" w:rsidRPr="00666C4F" w:rsidRDefault="2011D874" w:rsidP="00FA0D6B">
      <w:pPr>
        <w:jc w:val="both"/>
        <w:rPr>
          <w:rFonts w:eastAsia="Times New Roman" w:cstheme="minorHAnsi"/>
        </w:rPr>
      </w:pPr>
      <w:r w:rsidRPr="00666C4F">
        <w:rPr>
          <w:rFonts w:eastAsia="Times New Roman" w:cstheme="minorHAnsi"/>
        </w:rPr>
        <w:t>Promotion to Assistant Professor is automatic upon the completion of the Ph.D.</w:t>
      </w:r>
      <w:r w:rsidR="005B02BC" w:rsidRPr="00666C4F">
        <w:rPr>
          <w:rFonts w:eastAsia="Times New Roman" w:cstheme="minorHAnsi"/>
        </w:rPr>
        <w:t>, and i</w:t>
      </w:r>
      <w:r w:rsidRPr="00666C4F">
        <w:rPr>
          <w:rFonts w:eastAsia="Times New Roman" w:cstheme="minorHAnsi"/>
        </w:rPr>
        <w:t>t is the policy of the Department that tenure-track faculty hired without the Ph.D. will be required to complete all of the requirements for the degree within two years of the date of their initial appointment. Failure to do so normally results in a terminal contract.</w:t>
      </w:r>
    </w:p>
    <w:p w14:paraId="007261BA" w14:textId="77777777" w:rsidR="005B02BC" w:rsidRPr="00666C4F" w:rsidRDefault="005B02BC" w:rsidP="00FA0D6B">
      <w:pPr>
        <w:jc w:val="both"/>
        <w:rPr>
          <w:rFonts w:eastAsia="Times New Roman" w:cstheme="minorHAnsi"/>
        </w:rPr>
      </w:pPr>
    </w:p>
    <w:p w14:paraId="4534A49E" w14:textId="3C984182" w:rsidR="01D37B9E" w:rsidRPr="00666C4F" w:rsidRDefault="00211C65" w:rsidP="00FA0D6B">
      <w:pPr>
        <w:jc w:val="both"/>
        <w:rPr>
          <w:rFonts w:eastAsia="Times New Roman" w:cstheme="minorHAnsi"/>
          <w:b/>
        </w:rPr>
      </w:pPr>
      <w:r w:rsidRPr="00666C4F">
        <w:rPr>
          <w:rFonts w:eastAsia="Times New Roman" w:cstheme="minorHAnsi"/>
          <w:b/>
        </w:rPr>
        <w:t>C</w:t>
      </w:r>
      <w:r w:rsidR="005B02BC" w:rsidRPr="00666C4F">
        <w:rPr>
          <w:rFonts w:eastAsia="Times New Roman" w:cstheme="minorHAnsi"/>
          <w:b/>
        </w:rPr>
        <w:t>. Third</w:t>
      </w:r>
      <w:r w:rsidR="00FA0D6B" w:rsidRPr="00666C4F">
        <w:rPr>
          <w:rFonts w:eastAsia="Times New Roman" w:cstheme="minorHAnsi"/>
          <w:b/>
        </w:rPr>
        <w:t xml:space="preserve"> </w:t>
      </w:r>
      <w:r w:rsidR="005B02BC" w:rsidRPr="00666C4F">
        <w:rPr>
          <w:rFonts w:eastAsia="Times New Roman" w:cstheme="minorHAnsi"/>
          <w:b/>
        </w:rPr>
        <w:t>Year Revie</w:t>
      </w:r>
      <w:r w:rsidR="00FA0D6B" w:rsidRPr="00666C4F">
        <w:rPr>
          <w:rFonts w:eastAsia="Times New Roman" w:cstheme="minorHAnsi"/>
          <w:b/>
        </w:rPr>
        <w:t>w:</w:t>
      </w:r>
    </w:p>
    <w:p w14:paraId="5AC54C80" w14:textId="058DB6BC" w:rsidR="00211C65" w:rsidRPr="00666C4F" w:rsidRDefault="007D4925" w:rsidP="00FA0D6B">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 xml:space="preserve">A faculty member appointed without tenure shall be formally reviewed by an </w:t>
      </w:r>
      <w:r w:rsidRPr="00666C4F">
        <w:rPr>
          <w:rFonts w:asciiTheme="minorHAnsi" w:hAnsiTheme="minorHAnsi" w:cstheme="minorHAnsi"/>
          <w:i/>
          <w:iCs/>
          <w:sz w:val="22"/>
          <w:szCs w:val="22"/>
        </w:rPr>
        <w:t>ad hoc</w:t>
      </w:r>
      <w:r w:rsidRPr="00666C4F">
        <w:rPr>
          <w:rFonts w:asciiTheme="minorHAnsi" w:hAnsiTheme="minorHAnsi" w:cstheme="minorHAnsi"/>
          <w:sz w:val="22"/>
          <w:szCs w:val="22"/>
        </w:rPr>
        <w:t xml:space="preserve"> Third</w:t>
      </w:r>
      <w:r w:rsidR="00FA0D6B" w:rsidRPr="00666C4F">
        <w:rPr>
          <w:rFonts w:asciiTheme="minorHAnsi" w:hAnsiTheme="minorHAnsi" w:cstheme="minorHAnsi"/>
          <w:sz w:val="22"/>
          <w:szCs w:val="22"/>
        </w:rPr>
        <w:t xml:space="preserve"> Y</w:t>
      </w:r>
      <w:r w:rsidRPr="00666C4F">
        <w:rPr>
          <w:rFonts w:asciiTheme="minorHAnsi" w:hAnsiTheme="minorHAnsi" w:cstheme="minorHAnsi"/>
          <w:sz w:val="22"/>
          <w:szCs w:val="22"/>
        </w:rPr>
        <w:t>ear Tenure Review Committee</w:t>
      </w:r>
      <w:r w:rsidR="01D37B9E" w:rsidRPr="00666C4F">
        <w:rPr>
          <w:rFonts w:asciiTheme="minorHAnsi" w:eastAsia="Calibri" w:hAnsiTheme="minorHAnsi" w:cstheme="minorHAnsi"/>
          <w:sz w:val="22"/>
          <w:szCs w:val="22"/>
        </w:rPr>
        <w:t xml:space="preserve"> (TYTRC)</w:t>
      </w:r>
      <w:r w:rsidRPr="00666C4F">
        <w:rPr>
          <w:rFonts w:asciiTheme="minorHAnsi" w:hAnsiTheme="minorHAnsi" w:cstheme="minorHAnsi"/>
          <w:sz w:val="22"/>
          <w:szCs w:val="22"/>
        </w:rPr>
        <w:t xml:space="preserve"> </w:t>
      </w:r>
      <w:r w:rsidR="01D37B9E" w:rsidRPr="00666C4F">
        <w:rPr>
          <w:rFonts w:asciiTheme="minorHAnsi" w:hAnsiTheme="minorHAnsi" w:cstheme="minorHAnsi"/>
          <w:sz w:val="22"/>
          <w:szCs w:val="22"/>
        </w:rPr>
        <w:t xml:space="preserve">consisting of those eligible to vote in tenure decisions </w:t>
      </w:r>
      <w:r w:rsidRPr="00666C4F">
        <w:rPr>
          <w:rFonts w:asciiTheme="minorHAnsi" w:hAnsiTheme="minorHAnsi" w:cstheme="minorHAnsi"/>
          <w:sz w:val="22"/>
          <w:szCs w:val="22"/>
        </w:rPr>
        <w:t xml:space="preserve">to evaluate the faculty member’s progress toward tenure. The </w:t>
      </w:r>
      <w:r w:rsidR="00666C4F" w:rsidRPr="00666C4F">
        <w:rPr>
          <w:rFonts w:asciiTheme="minorHAnsi" w:hAnsiTheme="minorHAnsi" w:cstheme="minorHAnsi"/>
          <w:sz w:val="22"/>
          <w:szCs w:val="22"/>
        </w:rPr>
        <w:t>third-year</w:t>
      </w:r>
      <w:r w:rsidRPr="00666C4F">
        <w:rPr>
          <w:rFonts w:asciiTheme="minorHAnsi" w:hAnsiTheme="minorHAnsi" w:cstheme="minorHAnsi"/>
          <w:sz w:val="22"/>
          <w:szCs w:val="22"/>
        </w:rPr>
        <w:t xml:space="preserve"> </w:t>
      </w:r>
      <w:r w:rsidR="01D37B9E" w:rsidRPr="00666C4F">
        <w:rPr>
          <w:rFonts w:asciiTheme="minorHAnsi" w:hAnsiTheme="minorHAnsi" w:cstheme="minorHAnsi"/>
          <w:sz w:val="22"/>
          <w:szCs w:val="22"/>
        </w:rPr>
        <w:t>r</w:t>
      </w:r>
      <w:r w:rsidRPr="00666C4F">
        <w:rPr>
          <w:rFonts w:asciiTheme="minorHAnsi" w:hAnsiTheme="minorHAnsi" w:cstheme="minorHAnsi"/>
          <w:sz w:val="22"/>
          <w:szCs w:val="22"/>
        </w:rPr>
        <w:t xml:space="preserve">eview will occur during the Spring term of the faculty member’s third year of employment. It will occur during the Spring term of the first year of employment for those who are granted two years toward tenure when hired, and the Spring term of the second year for those who are granted one year when hired. </w:t>
      </w:r>
    </w:p>
    <w:p w14:paraId="5D07C034" w14:textId="77777777" w:rsidR="00211C65" w:rsidRPr="00666C4F" w:rsidRDefault="00211C65" w:rsidP="00FA0D6B">
      <w:pPr>
        <w:pStyle w:val="BodyText"/>
        <w:ind w:left="0"/>
        <w:rPr>
          <w:rFonts w:asciiTheme="minorHAnsi" w:hAnsiTheme="minorHAnsi" w:cstheme="minorHAnsi"/>
          <w:sz w:val="22"/>
          <w:szCs w:val="22"/>
        </w:rPr>
      </w:pPr>
    </w:p>
    <w:p w14:paraId="76BBDCEC" w14:textId="0AF8244A" w:rsidR="003C3EC8" w:rsidRPr="00666C4F" w:rsidRDefault="2011D874" w:rsidP="00FA0D6B">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 xml:space="preserve">The TYTRC’s review will evaluate the candidate's teaching, research and service at FAU. In the area of teaching, the candidate's record should include evidence of competence and commitment to teaching, with the candidate showing promise of making significant contributions to teaching as defined in the Department, College and University guidelines. A weak performance in teaching may be </w:t>
      </w:r>
      <w:r w:rsidR="005B02BC" w:rsidRPr="00666C4F">
        <w:rPr>
          <w:rFonts w:asciiTheme="minorHAnsi" w:hAnsiTheme="minorHAnsi" w:cstheme="minorHAnsi"/>
          <w:sz w:val="22"/>
          <w:szCs w:val="22"/>
        </w:rPr>
        <w:t>indicated by student evaluations, p</w:t>
      </w:r>
      <w:r w:rsidRPr="00666C4F">
        <w:rPr>
          <w:rFonts w:asciiTheme="minorHAnsi" w:hAnsiTheme="minorHAnsi" w:cstheme="minorHAnsi"/>
          <w:sz w:val="22"/>
          <w:szCs w:val="22"/>
        </w:rPr>
        <w:t>eer evaluations</w:t>
      </w:r>
      <w:r w:rsidR="005B02BC" w:rsidRPr="00666C4F">
        <w:rPr>
          <w:rFonts w:asciiTheme="minorHAnsi" w:hAnsiTheme="minorHAnsi" w:cstheme="minorHAnsi"/>
          <w:sz w:val="22"/>
          <w:szCs w:val="22"/>
        </w:rPr>
        <w:t xml:space="preserve"> or </w:t>
      </w:r>
      <w:r w:rsidRPr="00666C4F">
        <w:rPr>
          <w:rFonts w:asciiTheme="minorHAnsi" w:hAnsiTheme="minorHAnsi" w:cstheme="minorHAnsi"/>
          <w:sz w:val="22"/>
          <w:szCs w:val="22"/>
        </w:rPr>
        <w:t>other factors as determined by the Department. In the area of research, the candidate's record should include evidence of success in conducting research as well as promise of continuing development towards the department's research guidelines for successful promotion and tenure. In the area of service, the candidate's record should indicate a reasonable contribution of service to the Department and University. While the Department does not expect assistant professors to engage in substantial amounts of service, especially in their first three years, the expectation grows for a modest increase in service duties going into tenure and promotion. The timeline and procedures for the reappointment review shall be consistent with College and University guidelines.</w:t>
      </w:r>
    </w:p>
    <w:p w14:paraId="6C94E0FB" w14:textId="2687DC92" w:rsidR="00211C65" w:rsidRPr="00666C4F" w:rsidRDefault="00211C65" w:rsidP="0066640F">
      <w:pPr>
        <w:pStyle w:val="BodyText"/>
        <w:ind w:left="0"/>
        <w:jc w:val="both"/>
        <w:rPr>
          <w:rFonts w:asciiTheme="minorHAnsi" w:hAnsiTheme="minorHAnsi" w:cstheme="minorHAnsi"/>
          <w:sz w:val="22"/>
          <w:szCs w:val="22"/>
        </w:rPr>
      </w:pPr>
    </w:p>
    <w:p w14:paraId="6EB7035C" w14:textId="7D87B6C2" w:rsidR="003C3EC8" w:rsidRPr="00666C4F" w:rsidRDefault="007D4925" w:rsidP="00FA0D6B">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 xml:space="preserve">The </w:t>
      </w:r>
      <w:r w:rsidR="00666C4F" w:rsidRPr="00666C4F">
        <w:rPr>
          <w:rFonts w:asciiTheme="minorHAnsi" w:hAnsiTheme="minorHAnsi" w:cstheme="minorHAnsi"/>
          <w:sz w:val="22"/>
          <w:szCs w:val="22"/>
        </w:rPr>
        <w:t>third-year</w:t>
      </w:r>
      <w:r w:rsidRPr="00666C4F">
        <w:rPr>
          <w:rFonts w:asciiTheme="minorHAnsi" w:hAnsiTheme="minorHAnsi" w:cstheme="minorHAnsi"/>
          <w:sz w:val="22"/>
          <w:szCs w:val="22"/>
        </w:rPr>
        <w:t xml:space="preserve"> portfolio will be prepared by the candidate. The portfolio will include everything required </w:t>
      </w:r>
      <w:r w:rsidRPr="00666C4F">
        <w:rPr>
          <w:rFonts w:asciiTheme="minorHAnsi" w:hAnsiTheme="minorHAnsi" w:cstheme="minorHAnsi"/>
          <w:sz w:val="22"/>
          <w:szCs w:val="22"/>
        </w:rPr>
        <w:lastRenderedPageBreak/>
        <w:t xml:space="preserve">in the University “Tenure Portfolio Guidelines” except the letters of evaluation. The portfolio will be submitted to the </w:t>
      </w:r>
      <w:r w:rsidR="01D37B9E" w:rsidRPr="00666C4F">
        <w:rPr>
          <w:rFonts w:asciiTheme="minorHAnsi" w:hAnsiTheme="minorHAnsi" w:cstheme="minorHAnsi"/>
          <w:sz w:val="22"/>
          <w:szCs w:val="22"/>
        </w:rPr>
        <w:t>D</w:t>
      </w:r>
      <w:r w:rsidRPr="00666C4F">
        <w:rPr>
          <w:rFonts w:asciiTheme="minorHAnsi" w:hAnsiTheme="minorHAnsi" w:cstheme="minorHAnsi"/>
          <w:sz w:val="22"/>
          <w:szCs w:val="22"/>
        </w:rPr>
        <w:t xml:space="preserve">epartment Chair. </w:t>
      </w:r>
      <w:r w:rsidR="01D37B9E" w:rsidRPr="00666C4F">
        <w:rPr>
          <w:rFonts w:asciiTheme="minorHAnsi" w:hAnsiTheme="minorHAnsi" w:cstheme="minorHAnsi"/>
          <w:sz w:val="22"/>
          <w:szCs w:val="22"/>
        </w:rPr>
        <w:t xml:space="preserve"> The Third-year Tenure Review Committee</w:t>
      </w:r>
      <w:r w:rsidRPr="00666C4F">
        <w:rPr>
          <w:rFonts w:asciiTheme="minorHAnsi" w:hAnsiTheme="minorHAnsi" w:cstheme="minorHAnsi"/>
          <w:sz w:val="22"/>
          <w:szCs w:val="22"/>
        </w:rPr>
        <w:t xml:space="preserve"> will provide the faculty member with a clear evaluation of progress toward tenure and promotion to Associate Professor, including strengths and weaknesses </w:t>
      </w:r>
      <w:r w:rsidR="00666C4F" w:rsidRPr="00666C4F">
        <w:rPr>
          <w:rFonts w:asciiTheme="minorHAnsi" w:hAnsiTheme="minorHAnsi" w:cstheme="minorHAnsi"/>
          <w:sz w:val="22"/>
          <w:szCs w:val="22"/>
        </w:rPr>
        <w:t>and specific</w:t>
      </w:r>
      <w:r w:rsidRPr="00666C4F">
        <w:rPr>
          <w:rFonts w:asciiTheme="minorHAnsi" w:hAnsiTheme="minorHAnsi" w:cstheme="minorHAnsi"/>
          <w:sz w:val="22"/>
          <w:szCs w:val="22"/>
        </w:rPr>
        <w:t xml:space="preserve"> recommendations for improvement (if any), but no faculty vote will be taken. The assessment will include </w:t>
      </w:r>
      <w:r w:rsidR="01D37B9E" w:rsidRPr="00666C4F">
        <w:rPr>
          <w:rFonts w:asciiTheme="minorHAnsi" w:hAnsiTheme="minorHAnsi" w:cstheme="minorHAnsi"/>
          <w:sz w:val="22"/>
          <w:szCs w:val="22"/>
        </w:rPr>
        <w:t xml:space="preserve">a </w:t>
      </w:r>
      <w:r w:rsidRPr="00666C4F">
        <w:rPr>
          <w:rFonts w:asciiTheme="minorHAnsi" w:hAnsiTheme="minorHAnsi" w:cstheme="minorHAnsi"/>
          <w:sz w:val="22"/>
          <w:szCs w:val="22"/>
        </w:rPr>
        <w:t xml:space="preserve">peer evaluation of teaching as required for tenure and promotion to Associate Professor. If the conclusion is that progress is unsatisfactory, the </w:t>
      </w:r>
      <w:r w:rsidR="01D37B9E" w:rsidRPr="00666C4F">
        <w:rPr>
          <w:rFonts w:asciiTheme="minorHAnsi" w:hAnsiTheme="minorHAnsi" w:cstheme="minorHAnsi"/>
          <w:sz w:val="22"/>
          <w:szCs w:val="22"/>
        </w:rPr>
        <w:t>evaluation</w:t>
      </w:r>
      <w:r w:rsidRPr="00666C4F">
        <w:rPr>
          <w:rFonts w:asciiTheme="minorHAnsi" w:hAnsiTheme="minorHAnsi" w:cstheme="minorHAnsi"/>
          <w:sz w:val="22"/>
          <w:szCs w:val="22"/>
        </w:rPr>
        <w:t xml:space="preserve"> should indicate what the candidate should do to improve tenure prospects or a recommendation that the Chair </w:t>
      </w:r>
      <w:r w:rsidR="01D37B9E" w:rsidRPr="00666C4F">
        <w:rPr>
          <w:rFonts w:asciiTheme="minorHAnsi" w:hAnsiTheme="minorHAnsi" w:cstheme="minorHAnsi"/>
          <w:sz w:val="22"/>
          <w:szCs w:val="22"/>
        </w:rPr>
        <w:t xml:space="preserve">not </w:t>
      </w:r>
      <w:r w:rsidRPr="00666C4F">
        <w:rPr>
          <w:rFonts w:asciiTheme="minorHAnsi" w:hAnsiTheme="minorHAnsi" w:cstheme="minorHAnsi"/>
          <w:sz w:val="22"/>
          <w:szCs w:val="22"/>
        </w:rPr>
        <w:t xml:space="preserve">renew the contract. </w:t>
      </w:r>
    </w:p>
    <w:p w14:paraId="2180A5BC" w14:textId="77777777" w:rsidR="00211C65" w:rsidRPr="00666C4F" w:rsidRDefault="00211C65" w:rsidP="0066640F">
      <w:pPr>
        <w:pStyle w:val="BodyText"/>
        <w:ind w:left="0"/>
        <w:jc w:val="both"/>
        <w:rPr>
          <w:rFonts w:asciiTheme="minorHAnsi" w:hAnsiTheme="minorHAnsi" w:cstheme="minorHAnsi"/>
          <w:sz w:val="22"/>
          <w:szCs w:val="22"/>
        </w:rPr>
      </w:pPr>
    </w:p>
    <w:p w14:paraId="4D6975DF" w14:textId="6E4D3DCE" w:rsidR="003C3EC8" w:rsidRPr="00666C4F" w:rsidRDefault="007D4925" w:rsidP="00FA0D6B">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 xml:space="preserve">The </w:t>
      </w:r>
      <w:r w:rsidR="6F2294A6" w:rsidRPr="00666C4F">
        <w:rPr>
          <w:rFonts w:asciiTheme="minorHAnsi" w:hAnsiTheme="minorHAnsi" w:cstheme="minorHAnsi"/>
          <w:sz w:val="22"/>
          <w:szCs w:val="22"/>
        </w:rPr>
        <w:t>D</w:t>
      </w:r>
      <w:r w:rsidRPr="00666C4F">
        <w:rPr>
          <w:rFonts w:asciiTheme="minorHAnsi" w:hAnsiTheme="minorHAnsi" w:cstheme="minorHAnsi"/>
          <w:sz w:val="22"/>
          <w:szCs w:val="22"/>
        </w:rPr>
        <w:t xml:space="preserve">epartment Chair shall write a letter evaluating the candidate’s progress based on the candidate’s assignment, record, departmental criteria, and the faculty evaluation. The candidate may respond to the Chair’s letter within five business days and have the response included in the portfolio. The </w:t>
      </w:r>
      <w:r w:rsidR="6F2294A6" w:rsidRPr="00666C4F">
        <w:rPr>
          <w:rFonts w:asciiTheme="minorHAnsi" w:hAnsiTheme="minorHAnsi" w:cstheme="minorHAnsi"/>
          <w:sz w:val="22"/>
          <w:szCs w:val="22"/>
        </w:rPr>
        <w:t>D</w:t>
      </w:r>
      <w:r w:rsidRPr="00666C4F">
        <w:rPr>
          <w:rFonts w:asciiTheme="minorHAnsi" w:hAnsiTheme="minorHAnsi" w:cstheme="minorHAnsi"/>
          <w:sz w:val="22"/>
          <w:szCs w:val="22"/>
        </w:rPr>
        <w:t xml:space="preserve">epartment Chair forwards the portfolio to the </w:t>
      </w:r>
      <w:r w:rsidR="6F2294A6" w:rsidRPr="00666C4F">
        <w:rPr>
          <w:rFonts w:asciiTheme="minorHAnsi" w:hAnsiTheme="minorHAnsi" w:cstheme="minorHAnsi"/>
          <w:sz w:val="22"/>
          <w:szCs w:val="22"/>
        </w:rPr>
        <w:t>C</w:t>
      </w:r>
      <w:r w:rsidRPr="00666C4F">
        <w:rPr>
          <w:rFonts w:asciiTheme="minorHAnsi" w:hAnsiTheme="minorHAnsi" w:cstheme="minorHAnsi"/>
          <w:sz w:val="22"/>
          <w:szCs w:val="22"/>
        </w:rPr>
        <w:t xml:space="preserve">ollege </w:t>
      </w:r>
      <w:r w:rsidR="6F2294A6" w:rsidRPr="00666C4F">
        <w:rPr>
          <w:rFonts w:asciiTheme="minorHAnsi" w:hAnsiTheme="minorHAnsi" w:cstheme="minorHAnsi"/>
          <w:sz w:val="22"/>
          <w:szCs w:val="22"/>
        </w:rPr>
        <w:t>P</w:t>
      </w:r>
      <w:r w:rsidRPr="00666C4F">
        <w:rPr>
          <w:rFonts w:asciiTheme="minorHAnsi" w:hAnsiTheme="minorHAnsi" w:cstheme="minorHAnsi"/>
          <w:sz w:val="22"/>
          <w:szCs w:val="22"/>
        </w:rPr>
        <w:t xml:space="preserve">romotion and </w:t>
      </w:r>
      <w:r w:rsidR="6F2294A6" w:rsidRPr="00666C4F">
        <w:rPr>
          <w:rFonts w:asciiTheme="minorHAnsi" w:hAnsiTheme="minorHAnsi" w:cstheme="minorHAnsi"/>
          <w:sz w:val="22"/>
          <w:szCs w:val="22"/>
        </w:rPr>
        <w:t>T</w:t>
      </w:r>
      <w:r w:rsidRPr="00666C4F">
        <w:rPr>
          <w:rFonts w:asciiTheme="minorHAnsi" w:hAnsiTheme="minorHAnsi" w:cstheme="minorHAnsi"/>
          <w:sz w:val="22"/>
          <w:szCs w:val="22"/>
        </w:rPr>
        <w:t xml:space="preserve">enure </w:t>
      </w:r>
      <w:r w:rsidR="6F2294A6" w:rsidRPr="00666C4F">
        <w:rPr>
          <w:rFonts w:asciiTheme="minorHAnsi" w:hAnsiTheme="minorHAnsi" w:cstheme="minorHAnsi"/>
          <w:sz w:val="22"/>
          <w:szCs w:val="22"/>
        </w:rPr>
        <w:t>C</w:t>
      </w:r>
      <w:r w:rsidRPr="00666C4F">
        <w:rPr>
          <w:rFonts w:asciiTheme="minorHAnsi" w:hAnsiTheme="minorHAnsi" w:cstheme="minorHAnsi"/>
          <w:sz w:val="22"/>
          <w:szCs w:val="22"/>
        </w:rPr>
        <w:t xml:space="preserve">ommittee. The Chair will monitor subsequent progress through the annual evaluation and other processes and may convene a meeting of the </w:t>
      </w:r>
      <w:r w:rsidR="6F2294A6" w:rsidRPr="00666C4F">
        <w:rPr>
          <w:rFonts w:asciiTheme="minorHAnsi" w:hAnsiTheme="minorHAnsi" w:cstheme="minorHAnsi"/>
          <w:i/>
          <w:iCs/>
          <w:sz w:val="22"/>
          <w:szCs w:val="22"/>
        </w:rPr>
        <w:t>ad hoc</w:t>
      </w:r>
      <w:r w:rsidR="6F2294A6" w:rsidRPr="00666C4F">
        <w:rPr>
          <w:rFonts w:asciiTheme="minorHAnsi" w:hAnsiTheme="minorHAnsi" w:cstheme="minorHAnsi"/>
          <w:sz w:val="22"/>
          <w:szCs w:val="22"/>
        </w:rPr>
        <w:t xml:space="preserve"> R</w:t>
      </w:r>
      <w:r w:rsidRPr="00666C4F">
        <w:rPr>
          <w:rFonts w:asciiTheme="minorHAnsi" w:hAnsiTheme="minorHAnsi" w:cstheme="minorHAnsi"/>
          <w:sz w:val="22"/>
          <w:szCs w:val="22"/>
        </w:rPr>
        <w:t xml:space="preserve">eview </w:t>
      </w:r>
      <w:r w:rsidR="6F2294A6" w:rsidRPr="00666C4F">
        <w:rPr>
          <w:rFonts w:asciiTheme="minorHAnsi" w:hAnsiTheme="minorHAnsi" w:cstheme="minorHAnsi"/>
          <w:sz w:val="22"/>
          <w:szCs w:val="22"/>
        </w:rPr>
        <w:t>C</w:t>
      </w:r>
      <w:r w:rsidRPr="00666C4F">
        <w:rPr>
          <w:rFonts w:asciiTheme="minorHAnsi" w:hAnsiTheme="minorHAnsi" w:cstheme="minorHAnsi"/>
          <w:sz w:val="22"/>
          <w:szCs w:val="22"/>
        </w:rPr>
        <w:t xml:space="preserve">ommittee at any time following the third-year review if further evaluation is deemed useful. Any such further evaluation is internal to the </w:t>
      </w:r>
      <w:r w:rsidR="6F2294A6" w:rsidRPr="00666C4F">
        <w:rPr>
          <w:rFonts w:asciiTheme="minorHAnsi" w:hAnsiTheme="minorHAnsi" w:cstheme="minorHAnsi"/>
          <w:sz w:val="22"/>
          <w:szCs w:val="22"/>
        </w:rPr>
        <w:t>D</w:t>
      </w:r>
      <w:r w:rsidRPr="00666C4F">
        <w:rPr>
          <w:rFonts w:asciiTheme="minorHAnsi" w:hAnsiTheme="minorHAnsi" w:cstheme="minorHAnsi"/>
          <w:sz w:val="22"/>
          <w:szCs w:val="22"/>
        </w:rPr>
        <w:t xml:space="preserve">epartment and does not involve the </w:t>
      </w:r>
      <w:r w:rsidR="6F2294A6" w:rsidRPr="00666C4F">
        <w:rPr>
          <w:rFonts w:asciiTheme="minorHAnsi" w:hAnsiTheme="minorHAnsi" w:cstheme="minorHAnsi"/>
          <w:sz w:val="22"/>
          <w:szCs w:val="22"/>
        </w:rPr>
        <w:t>C</w:t>
      </w:r>
      <w:r w:rsidRPr="00666C4F">
        <w:rPr>
          <w:rFonts w:asciiTheme="minorHAnsi" w:hAnsiTheme="minorHAnsi" w:cstheme="minorHAnsi"/>
          <w:sz w:val="22"/>
          <w:szCs w:val="22"/>
        </w:rPr>
        <w:t xml:space="preserve">ollege </w:t>
      </w:r>
      <w:r w:rsidR="6F2294A6" w:rsidRPr="00666C4F">
        <w:rPr>
          <w:rFonts w:asciiTheme="minorHAnsi" w:hAnsiTheme="minorHAnsi" w:cstheme="minorHAnsi"/>
          <w:sz w:val="22"/>
          <w:szCs w:val="22"/>
        </w:rPr>
        <w:t>P</w:t>
      </w:r>
      <w:r w:rsidRPr="00666C4F">
        <w:rPr>
          <w:rFonts w:asciiTheme="minorHAnsi" w:hAnsiTheme="minorHAnsi" w:cstheme="minorHAnsi"/>
          <w:sz w:val="22"/>
          <w:szCs w:val="22"/>
        </w:rPr>
        <w:t xml:space="preserve">romotion and </w:t>
      </w:r>
      <w:r w:rsidR="6F2294A6" w:rsidRPr="00666C4F">
        <w:rPr>
          <w:rFonts w:asciiTheme="minorHAnsi" w:hAnsiTheme="minorHAnsi" w:cstheme="minorHAnsi"/>
          <w:sz w:val="22"/>
          <w:szCs w:val="22"/>
        </w:rPr>
        <w:t>T</w:t>
      </w:r>
      <w:r w:rsidRPr="00666C4F">
        <w:rPr>
          <w:rFonts w:asciiTheme="minorHAnsi" w:hAnsiTheme="minorHAnsi" w:cstheme="minorHAnsi"/>
          <w:sz w:val="22"/>
          <w:szCs w:val="22"/>
        </w:rPr>
        <w:t>enure</w:t>
      </w:r>
      <w:r w:rsidR="581C9FD0" w:rsidRPr="00666C4F">
        <w:rPr>
          <w:rFonts w:asciiTheme="minorHAnsi" w:hAnsiTheme="minorHAnsi" w:cstheme="minorHAnsi"/>
          <w:sz w:val="22"/>
          <w:szCs w:val="22"/>
        </w:rPr>
        <w:t xml:space="preserve"> </w:t>
      </w:r>
      <w:r w:rsidR="6F2294A6" w:rsidRPr="00666C4F">
        <w:rPr>
          <w:rFonts w:asciiTheme="minorHAnsi" w:hAnsiTheme="minorHAnsi" w:cstheme="minorHAnsi"/>
          <w:sz w:val="22"/>
          <w:szCs w:val="22"/>
        </w:rPr>
        <w:t>C</w:t>
      </w:r>
      <w:r w:rsidR="581C9FD0" w:rsidRPr="00666C4F">
        <w:rPr>
          <w:rFonts w:asciiTheme="minorHAnsi" w:hAnsiTheme="minorHAnsi" w:cstheme="minorHAnsi"/>
          <w:sz w:val="22"/>
          <w:szCs w:val="22"/>
        </w:rPr>
        <w:t>ommittee.</w:t>
      </w:r>
    </w:p>
    <w:p w14:paraId="2449068B" w14:textId="77777777" w:rsidR="00211C65" w:rsidRPr="00666C4F" w:rsidRDefault="00211C65" w:rsidP="0066640F">
      <w:pPr>
        <w:pStyle w:val="BodyText"/>
        <w:ind w:left="0"/>
        <w:rPr>
          <w:rFonts w:asciiTheme="minorHAnsi" w:hAnsiTheme="minorHAnsi" w:cstheme="minorHAnsi"/>
          <w:sz w:val="22"/>
          <w:szCs w:val="22"/>
        </w:rPr>
      </w:pPr>
    </w:p>
    <w:p w14:paraId="6165F53B" w14:textId="4A9391A1" w:rsidR="003C3EC8" w:rsidRPr="00666C4F" w:rsidRDefault="00FA0D6B" w:rsidP="00684F41">
      <w:pPr>
        <w:pStyle w:val="Heading1"/>
        <w:tabs>
          <w:tab w:val="left" w:pos="501"/>
        </w:tabs>
        <w:ind w:left="0" w:firstLine="0"/>
        <w:rPr>
          <w:rFonts w:asciiTheme="minorHAnsi" w:hAnsiTheme="minorHAnsi" w:cstheme="minorHAnsi"/>
          <w:b w:val="0"/>
          <w:bCs w:val="0"/>
          <w:sz w:val="22"/>
          <w:szCs w:val="22"/>
        </w:rPr>
      </w:pPr>
      <w:r w:rsidRPr="00666C4F">
        <w:rPr>
          <w:rFonts w:asciiTheme="minorHAnsi" w:hAnsiTheme="minorHAnsi" w:cstheme="minorHAnsi"/>
          <w:sz w:val="22"/>
          <w:szCs w:val="22"/>
        </w:rPr>
        <w:t xml:space="preserve">ARTICLE 2. </w:t>
      </w:r>
      <w:r w:rsidR="007D4925" w:rsidRPr="00666C4F">
        <w:rPr>
          <w:rFonts w:asciiTheme="minorHAnsi" w:hAnsiTheme="minorHAnsi" w:cstheme="minorHAnsi"/>
          <w:sz w:val="22"/>
          <w:szCs w:val="22"/>
        </w:rPr>
        <w:t xml:space="preserve">PROMOTION </w:t>
      </w:r>
      <w:r w:rsidR="00684F41" w:rsidRPr="00666C4F">
        <w:rPr>
          <w:rFonts w:asciiTheme="minorHAnsi" w:hAnsiTheme="minorHAnsi" w:cstheme="minorHAnsi"/>
          <w:sz w:val="22"/>
          <w:szCs w:val="22"/>
        </w:rPr>
        <w:t xml:space="preserve">AND TENURE </w:t>
      </w:r>
      <w:r w:rsidR="007D4925" w:rsidRPr="00666C4F">
        <w:rPr>
          <w:rFonts w:asciiTheme="minorHAnsi" w:hAnsiTheme="minorHAnsi" w:cstheme="minorHAnsi"/>
          <w:sz w:val="22"/>
          <w:szCs w:val="22"/>
        </w:rPr>
        <w:t>TO ASSOCIATE PROFESSOR</w:t>
      </w:r>
    </w:p>
    <w:p w14:paraId="72A3D3EC" w14:textId="77777777" w:rsidR="003C3EC8" w:rsidRPr="00666C4F" w:rsidRDefault="003C3EC8">
      <w:pPr>
        <w:rPr>
          <w:rFonts w:eastAsia="Times New Roman" w:cstheme="minorHAnsi"/>
          <w:b/>
          <w:bCs/>
        </w:rPr>
      </w:pPr>
    </w:p>
    <w:p w14:paraId="46DBEBA0" w14:textId="35CB65DC" w:rsidR="003C3EC8" w:rsidRPr="00666C4F" w:rsidRDefault="00FA0D6B" w:rsidP="00FA0D6B">
      <w:pPr>
        <w:tabs>
          <w:tab w:val="left" w:pos="393"/>
        </w:tabs>
        <w:jc w:val="both"/>
        <w:rPr>
          <w:rFonts w:eastAsia="Times New Roman" w:cstheme="minorHAnsi"/>
        </w:rPr>
      </w:pPr>
      <w:r w:rsidRPr="00666C4F">
        <w:rPr>
          <w:rFonts w:cstheme="minorHAnsi"/>
          <w:b/>
        </w:rPr>
        <w:t xml:space="preserve">A. </w:t>
      </w:r>
      <w:r w:rsidR="007D4925" w:rsidRPr="00666C4F">
        <w:rPr>
          <w:rFonts w:cstheme="minorHAnsi"/>
          <w:b/>
        </w:rPr>
        <w:t>General Policy</w:t>
      </w:r>
      <w:r w:rsidRPr="00666C4F">
        <w:rPr>
          <w:rFonts w:cstheme="minorHAnsi"/>
          <w:b/>
        </w:rPr>
        <w:t>:</w:t>
      </w:r>
    </w:p>
    <w:p w14:paraId="0D0817BB" w14:textId="77777777" w:rsidR="00FA0D6B" w:rsidRPr="00666C4F" w:rsidRDefault="007D4925" w:rsidP="008F0DC1">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University policy requires that the tenure decision be made at the same time as the decision about promotion to Associate Professor, but the two decisions are based on different criteria. The decisions to recommend tenure and promotion to Associate Professor recognize that the candidate’s record merits a long-term commitment to the faculty member as a member of the discipline.</w:t>
      </w:r>
    </w:p>
    <w:p w14:paraId="61373760" w14:textId="77777777" w:rsidR="00FA0D6B" w:rsidRPr="00666C4F" w:rsidRDefault="00FA0D6B" w:rsidP="008F0DC1">
      <w:pPr>
        <w:pStyle w:val="BodyText"/>
        <w:ind w:left="0"/>
        <w:jc w:val="both"/>
        <w:rPr>
          <w:rFonts w:asciiTheme="minorHAnsi" w:hAnsiTheme="minorHAnsi" w:cstheme="minorHAnsi"/>
          <w:sz w:val="22"/>
          <w:szCs w:val="22"/>
        </w:rPr>
      </w:pPr>
    </w:p>
    <w:p w14:paraId="1DEB5D11" w14:textId="3AE3B93C" w:rsidR="003C3EC8" w:rsidRPr="00666C4F" w:rsidRDefault="00FA0D6B" w:rsidP="008F0DC1">
      <w:pPr>
        <w:pStyle w:val="BodyText"/>
        <w:ind w:left="0"/>
        <w:jc w:val="both"/>
        <w:rPr>
          <w:rFonts w:asciiTheme="minorHAnsi" w:hAnsiTheme="minorHAnsi" w:cstheme="minorHAnsi"/>
          <w:b/>
          <w:sz w:val="22"/>
          <w:szCs w:val="22"/>
        </w:rPr>
      </w:pPr>
      <w:r w:rsidRPr="00666C4F">
        <w:rPr>
          <w:rFonts w:asciiTheme="minorHAnsi" w:hAnsiTheme="minorHAnsi" w:cstheme="minorHAnsi"/>
          <w:b/>
          <w:sz w:val="22"/>
          <w:szCs w:val="22"/>
        </w:rPr>
        <w:t xml:space="preserve">B. </w:t>
      </w:r>
      <w:r w:rsidR="007D4925" w:rsidRPr="00666C4F">
        <w:rPr>
          <w:rFonts w:asciiTheme="minorHAnsi" w:hAnsiTheme="minorHAnsi" w:cstheme="minorHAnsi"/>
          <w:b/>
          <w:sz w:val="22"/>
          <w:szCs w:val="22"/>
        </w:rPr>
        <w:t>Promotion to Associate Professor</w:t>
      </w:r>
      <w:r w:rsidRPr="00666C4F">
        <w:rPr>
          <w:rFonts w:asciiTheme="minorHAnsi" w:hAnsiTheme="minorHAnsi" w:cstheme="minorHAnsi"/>
          <w:b/>
          <w:sz w:val="22"/>
          <w:szCs w:val="22"/>
        </w:rPr>
        <w:t>:</w:t>
      </w:r>
    </w:p>
    <w:p w14:paraId="60061E4C" w14:textId="77777777" w:rsidR="003C3EC8" w:rsidRPr="00666C4F" w:rsidRDefault="003C3EC8" w:rsidP="008F0DC1">
      <w:pPr>
        <w:jc w:val="both"/>
        <w:rPr>
          <w:rFonts w:eastAsia="Times New Roman" w:cstheme="minorHAnsi"/>
          <w:b/>
          <w:bCs/>
        </w:rPr>
      </w:pPr>
    </w:p>
    <w:p w14:paraId="2DBE65D2" w14:textId="77777777" w:rsidR="003C3EC8" w:rsidRPr="00666C4F" w:rsidRDefault="007D4925" w:rsidP="008F0DC1">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Evaluation of a faculty member’s performance must be based on the faculty member’s assignment. The typical Assistant Professor will have significant assignments to teaching and scholarly work and a modest assignment to service. Expectations about teaching, research and service shall be adjusted to reflect changes in assignments. Annual evaluations are part of a faculty member’s record to be considered for promotion.</w:t>
      </w:r>
    </w:p>
    <w:p w14:paraId="44EAFD9C" w14:textId="77777777" w:rsidR="003C3EC8" w:rsidRPr="00666C4F" w:rsidRDefault="003C3EC8" w:rsidP="008F0DC1">
      <w:pPr>
        <w:jc w:val="both"/>
        <w:rPr>
          <w:rFonts w:eastAsia="Times New Roman" w:cstheme="minorHAnsi"/>
        </w:rPr>
      </w:pPr>
    </w:p>
    <w:p w14:paraId="22F64C9D" w14:textId="6818A2D4" w:rsidR="000B1636" w:rsidRPr="00666C4F" w:rsidRDefault="000B1636" w:rsidP="00033FA4">
      <w:pPr>
        <w:pStyle w:val="BodyText"/>
        <w:tabs>
          <w:tab w:val="left" w:pos="340"/>
        </w:tabs>
        <w:ind w:left="720" w:hanging="360"/>
        <w:jc w:val="both"/>
        <w:rPr>
          <w:rFonts w:asciiTheme="minorHAnsi" w:hAnsiTheme="minorHAnsi" w:cstheme="minorHAnsi"/>
          <w:sz w:val="22"/>
          <w:szCs w:val="22"/>
        </w:rPr>
      </w:pPr>
      <w:r w:rsidRPr="00666C4F">
        <w:rPr>
          <w:rFonts w:asciiTheme="minorHAnsi" w:hAnsiTheme="minorHAnsi" w:cstheme="minorHAnsi"/>
          <w:b/>
          <w:bCs/>
          <w:sz w:val="22"/>
          <w:szCs w:val="22"/>
        </w:rPr>
        <w:t xml:space="preserve">1. </w:t>
      </w:r>
      <w:r w:rsidR="007D4925" w:rsidRPr="00666C4F">
        <w:rPr>
          <w:rFonts w:asciiTheme="minorHAnsi" w:hAnsiTheme="minorHAnsi" w:cstheme="minorHAnsi"/>
          <w:b/>
          <w:bCs/>
          <w:sz w:val="22"/>
          <w:szCs w:val="22"/>
        </w:rPr>
        <w:t xml:space="preserve">Teaching Criteria. </w:t>
      </w:r>
      <w:r w:rsidR="007D4925" w:rsidRPr="00666C4F">
        <w:rPr>
          <w:rFonts w:asciiTheme="minorHAnsi" w:hAnsiTheme="minorHAnsi" w:cstheme="minorHAnsi"/>
          <w:sz w:val="22"/>
          <w:szCs w:val="22"/>
        </w:rPr>
        <w:t xml:space="preserve">The evaluation of teaching is primarily based </w:t>
      </w:r>
      <w:r w:rsidR="00666C4F" w:rsidRPr="00666C4F">
        <w:rPr>
          <w:rFonts w:asciiTheme="minorHAnsi" w:hAnsiTheme="minorHAnsi" w:cstheme="minorHAnsi"/>
          <w:sz w:val="22"/>
          <w:szCs w:val="22"/>
        </w:rPr>
        <w:t>on course</w:t>
      </w:r>
      <w:r w:rsidR="007D4925" w:rsidRPr="00666C4F">
        <w:rPr>
          <w:rFonts w:asciiTheme="minorHAnsi" w:hAnsiTheme="minorHAnsi" w:cstheme="minorHAnsi"/>
          <w:sz w:val="22"/>
          <w:szCs w:val="22"/>
        </w:rPr>
        <w:t xml:space="preserve"> assignment</w:t>
      </w:r>
      <w:r w:rsidR="46B8B1E2" w:rsidRPr="00666C4F">
        <w:rPr>
          <w:rFonts w:asciiTheme="minorHAnsi" w:hAnsiTheme="minorHAnsi" w:cstheme="minorHAnsi"/>
          <w:sz w:val="22"/>
          <w:szCs w:val="22"/>
        </w:rPr>
        <w:t xml:space="preserve">s and will include the </w:t>
      </w:r>
      <w:r w:rsidR="007D4925" w:rsidRPr="00666C4F">
        <w:rPr>
          <w:rFonts w:asciiTheme="minorHAnsi" w:hAnsiTheme="minorHAnsi" w:cstheme="minorHAnsi"/>
          <w:sz w:val="22"/>
          <w:szCs w:val="22"/>
        </w:rPr>
        <w:t>following:</w:t>
      </w:r>
    </w:p>
    <w:p w14:paraId="4F4C7803" w14:textId="00FAB20F" w:rsidR="000B1636" w:rsidRPr="00666C4F" w:rsidRDefault="000B1636" w:rsidP="00033FA4">
      <w:pPr>
        <w:pStyle w:val="BodyText"/>
        <w:tabs>
          <w:tab w:val="left" w:pos="340"/>
        </w:tabs>
        <w:ind w:left="720" w:hanging="346"/>
        <w:jc w:val="both"/>
        <w:rPr>
          <w:rFonts w:asciiTheme="minorHAnsi" w:hAnsiTheme="minorHAnsi" w:cstheme="minorHAnsi"/>
          <w:sz w:val="22"/>
          <w:szCs w:val="22"/>
        </w:rPr>
      </w:pPr>
      <w:r w:rsidRPr="00666C4F">
        <w:rPr>
          <w:rFonts w:asciiTheme="minorHAnsi" w:hAnsiTheme="minorHAnsi" w:cstheme="minorHAnsi"/>
          <w:color w:val="000000" w:themeColor="text1"/>
          <w:sz w:val="22"/>
          <w:szCs w:val="22"/>
        </w:rPr>
        <w:tab/>
        <w:t xml:space="preserve">A. </w:t>
      </w:r>
      <w:r w:rsidR="6F2294A6" w:rsidRPr="00666C4F">
        <w:rPr>
          <w:rFonts w:asciiTheme="minorHAnsi" w:hAnsiTheme="minorHAnsi" w:cstheme="minorHAnsi"/>
          <w:color w:val="000000" w:themeColor="text1"/>
          <w:sz w:val="22"/>
          <w:szCs w:val="22"/>
        </w:rPr>
        <w:t xml:space="preserve">Data on student perceptions of teaching. </w:t>
      </w:r>
      <w:r w:rsidR="6F2294A6" w:rsidRPr="00666C4F">
        <w:rPr>
          <w:rFonts w:asciiTheme="minorHAnsi" w:hAnsiTheme="minorHAnsi" w:cstheme="minorHAnsi"/>
          <w:sz w:val="22"/>
          <w:szCs w:val="22"/>
        </w:rPr>
        <w:t>Student assessments must include the standardized forms adopted by the SUS, the University and the College and Department where applicable.</w:t>
      </w:r>
    </w:p>
    <w:p w14:paraId="04F46EE5" w14:textId="50009F50" w:rsidR="003C3EC8" w:rsidRPr="00666C4F" w:rsidRDefault="000B1636" w:rsidP="00033FA4">
      <w:pPr>
        <w:pStyle w:val="BodyText"/>
        <w:tabs>
          <w:tab w:val="left" w:pos="340"/>
        </w:tabs>
        <w:ind w:left="720" w:hanging="346"/>
        <w:jc w:val="both"/>
        <w:rPr>
          <w:rFonts w:asciiTheme="minorHAnsi" w:hAnsiTheme="minorHAnsi" w:cstheme="minorHAnsi"/>
          <w:color w:val="000000" w:themeColor="text1"/>
          <w:sz w:val="22"/>
          <w:szCs w:val="22"/>
        </w:rPr>
      </w:pPr>
      <w:r w:rsidRPr="00666C4F">
        <w:rPr>
          <w:rFonts w:asciiTheme="minorHAnsi" w:hAnsiTheme="minorHAnsi" w:cstheme="minorHAnsi"/>
          <w:color w:val="000000" w:themeColor="text1"/>
          <w:sz w:val="22"/>
          <w:szCs w:val="22"/>
        </w:rPr>
        <w:tab/>
        <w:t xml:space="preserve">B. </w:t>
      </w:r>
      <w:r w:rsidR="2011D874" w:rsidRPr="00666C4F">
        <w:rPr>
          <w:rFonts w:asciiTheme="minorHAnsi" w:hAnsiTheme="minorHAnsi" w:cstheme="minorHAnsi"/>
          <w:color w:val="000000" w:themeColor="text1"/>
          <w:sz w:val="22"/>
          <w:szCs w:val="22"/>
        </w:rPr>
        <w:t xml:space="preserve">Peer review: The review will be based on syllabi and other appropriate teaching materials and include classroom observations. The observations must be scheduled ahead of time. </w:t>
      </w:r>
      <w:r w:rsidR="2011D874" w:rsidRPr="00666C4F">
        <w:rPr>
          <w:rFonts w:asciiTheme="minorHAnsi" w:hAnsiTheme="minorHAnsi" w:cstheme="minorHAnsi"/>
          <w:sz w:val="22"/>
          <w:szCs w:val="22"/>
        </w:rPr>
        <w:t xml:space="preserve">Peer review of teaching will be conducted by a member of the </w:t>
      </w:r>
      <w:r w:rsidR="2011D874" w:rsidRPr="00666C4F">
        <w:rPr>
          <w:rFonts w:asciiTheme="minorHAnsi" w:hAnsiTheme="minorHAnsi" w:cstheme="minorHAnsi"/>
          <w:i/>
          <w:iCs/>
          <w:sz w:val="22"/>
          <w:szCs w:val="22"/>
        </w:rPr>
        <w:t>ad hoc</w:t>
      </w:r>
      <w:r w:rsidR="2011D874" w:rsidRPr="00666C4F">
        <w:rPr>
          <w:rFonts w:asciiTheme="minorHAnsi" w:hAnsiTheme="minorHAnsi" w:cstheme="minorHAnsi"/>
          <w:sz w:val="22"/>
          <w:szCs w:val="22"/>
        </w:rPr>
        <w:t xml:space="preserve"> faculty committee chosen by the faculty member under review. Barring extraordinary circumstances, classroom evaluations will be performed in the first year of appointment, during mid-probation review, and in the year prior to tenure evaluation.</w:t>
      </w:r>
    </w:p>
    <w:p w14:paraId="521C2E05" w14:textId="1EDE2FDB" w:rsidR="003C3EC8" w:rsidRPr="00666C4F" w:rsidRDefault="000B1636" w:rsidP="008F0DC1">
      <w:pPr>
        <w:pStyle w:val="BodyText"/>
        <w:tabs>
          <w:tab w:val="left" w:pos="340"/>
        </w:tabs>
        <w:ind w:left="0" w:right="119"/>
        <w:jc w:val="both"/>
        <w:rPr>
          <w:rFonts w:asciiTheme="minorHAnsi" w:hAnsiTheme="minorHAnsi" w:cstheme="minorHAnsi"/>
          <w:color w:val="000000" w:themeColor="text1"/>
          <w:sz w:val="22"/>
          <w:szCs w:val="22"/>
        </w:rPr>
      </w:pPr>
      <w:r w:rsidRPr="00666C4F">
        <w:rPr>
          <w:rFonts w:asciiTheme="minorHAnsi" w:hAnsiTheme="minorHAnsi" w:cstheme="minorHAnsi"/>
          <w:color w:val="000000" w:themeColor="text1"/>
          <w:sz w:val="22"/>
          <w:szCs w:val="22"/>
        </w:rPr>
        <w:tab/>
      </w:r>
      <w:r w:rsidRPr="00666C4F">
        <w:rPr>
          <w:rFonts w:asciiTheme="minorHAnsi" w:hAnsiTheme="minorHAnsi" w:cstheme="minorHAnsi"/>
          <w:color w:val="000000" w:themeColor="text1"/>
          <w:sz w:val="22"/>
          <w:szCs w:val="22"/>
        </w:rPr>
        <w:tab/>
        <w:t xml:space="preserve">C. </w:t>
      </w:r>
      <w:r w:rsidR="6F2294A6" w:rsidRPr="00666C4F">
        <w:rPr>
          <w:rFonts w:asciiTheme="minorHAnsi" w:hAnsiTheme="minorHAnsi" w:cstheme="minorHAnsi"/>
          <w:color w:val="000000" w:themeColor="text1"/>
          <w:sz w:val="22"/>
          <w:szCs w:val="22"/>
        </w:rPr>
        <w:t xml:space="preserve">Course syllabi, tests and other course materials. </w:t>
      </w:r>
    </w:p>
    <w:p w14:paraId="059F84E9" w14:textId="4CDEB8ED" w:rsidR="003C3EC8" w:rsidRPr="00666C4F" w:rsidRDefault="000B1636" w:rsidP="008F0DC1">
      <w:pPr>
        <w:pStyle w:val="BodyText"/>
        <w:tabs>
          <w:tab w:val="left" w:pos="340"/>
        </w:tabs>
        <w:ind w:left="0" w:right="119"/>
        <w:jc w:val="both"/>
        <w:rPr>
          <w:rFonts w:asciiTheme="minorHAnsi" w:hAnsiTheme="minorHAnsi" w:cstheme="minorHAnsi"/>
          <w:color w:val="000000" w:themeColor="text1"/>
          <w:sz w:val="22"/>
          <w:szCs w:val="22"/>
        </w:rPr>
      </w:pPr>
      <w:r w:rsidRPr="00666C4F">
        <w:rPr>
          <w:rFonts w:asciiTheme="minorHAnsi" w:hAnsiTheme="minorHAnsi" w:cstheme="minorHAnsi"/>
          <w:color w:val="000000" w:themeColor="text1"/>
          <w:sz w:val="22"/>
          <w:szCs w:val="22"/>
        </w:rPr>
        <w:tab/>
      </w:r>
      <w:r w:rsidRPr="00666C4F">
        <w:rPr>
          <w:rFonts w:asciiTheme="minorHAnsi" w:hAnsiTheme="minorHAnsi" w:cstheme="minorHAnsi"/>
          <w:color w:val="000000" w:themeColor="text1"/>
          <w:sz w:val="22"/>
          <w:szCs w:val="22"/>
        </w:rPr>
        <w:tab/>
        <w:t xml:space="preserve">D. </w:t>
      </w:r>
      <w:r w:rsidR="6F2294A6" w:rsidRPr="00666C4F">
        <w:rPr>
          <w:rFonts w:asciiTheme="minorHAnsi" w:hAnsiTheme="minorHAnsi" w:cstheme="minorHAnsi"/>
          <w:color w:val="000000" w:themeColor="text1"/>
          <w:sz w:val="22"/>
          <w:szCs w:val="22"/>
        </w:rPr>
        <w:t>Advising.</w:t>
      </w:r>
    </w:p>
    <w:p w14:paraId="555D4575" w14:textId="17694A2C" w:rsidR="003C3EC8" w:rsidRPr="00666C4F" w:rsidRDefault="000B1636" w:rsidP="008F0DC1">
      <w:pPr>
        <w:pStyle w:val="BodyText"/>
        <w:tabs>
          <w:tab w:val="left" w:pos="340"/>
        </w:tabs>
        <w:ind w:left="0" w:right="119"/>
        <w:jc w:val="both"/>
        <w:rPr>
          <w:rFonts w:asciiTheme="minorHAnsi" w:eastAsiaTheme="minorEastAsia" w:hAnsiTheme="minorHAnsi" w:cstheme="minorHAnsi"/>
          <w:color w:val="000000" w:themeColor="text1"/>
          <w:sz w:val="22"/>
          <w:szCs w:val="22"/>
        </w:rPr>
      </w:pPr>
      <w:r w:rsidRPr="00666C4F">
        <w:rPr>
          <w:rFonts w:asciiTheme="minorHAnsi" w:hAnsiTheme="minorHAnsi" w:cstheme="minorHAnsi"/>
          <w:color w:val="000000" w:themeColor="text1"/>
          <w:sz w:val="22"/>
          <w:szCs w:val="22"/>
        </w:rPr>
        <w:tab/>
      </w:r>
      <w:r w:rsidRPr="00666C4F">
        <w:rPr>
          <w:rFonts w:asciiTheme="minorHAnsi" w:hAnsiTheme="minorHAnsi" w:cstheme="minorHAnsi"/>
          <w:color w:val="000000" w:themeColor="text1"/>
          <w:sz w:val="22"/>
          <w:szCs w:val="22"/>
        </w:rPr>
        <w:tab/>
        <w:t xml:space="preserve">E. </w:t>
      </w:r>
      <w:r w:rsidR="2011D874" w:rsidRPr="00666C4F">
        <w:rPr>
          <w:rFonts w:asciiTheme="minorHAnsi" w:hAnsiTheme="minorHAnsi" w:cstheme="minorHAnsi"/>
          <w:color w:val="000000" w:themeColor="text1"/>
          <w:sz w:val="22"/>
          <w:szCs w:val="22"/>
        </w:rPr>
        <w:t>Participation in professional development activities relating to pedagogy</w:t>
      </w:r>
      <w:r w:rsidRPr="00666C4F">
        <w:rPr>
          <w:rFonts w:asciiTheme="minorHAnsi" w:hAnsiTheme="minorHAnsi" w:cstheme="minorHAnsi"/>
          <w:color w:val="000000" w:themeColor="text1"/>
          <w:sz w:val="22"/>
          <w:szCs w:val="22"/>
        </w:rPr>
        <w:t>.</w:t>
      </w:r>
    </w:p>
    <w:p w14:paraId="4ED379AE" w14:textId="3D4F26F1" w:rsidR="003C3EC8" w:rsidRPr="00666C4F" w:rsidRDefault="000B1636" w:rsidP="008F0DC1">
      <w:pPr>
        <w:pStyle w:val="BodyText"/>
        <w:tabs>
          <w:tab w:val="left" w:pos="340"/>
        </w:tabs>
        <w:ind w:left="0" w:right="119"/>
        <w:jc w:val="both"/>
        <w:rPr>
          <w:rFonts w:asciiTheme="minorHAnsi" w:hAnsiTheme="minorHAnsi" w:cstheme="minorHAnsi"/>
          <w:color w:val="000000" w:themeColor="text1"/>
          <w:sz w:val="22"/>
          <w:szCs w:val="22"/>
        </w:rPr>
      </w:pPr>
      <w:r w:rsidRPr="00666C4F">
        <w:rPr>
          <w:rFonts w:asciiTheme="minorHAnsi" w:hAnsiTheme="minorHAnsi" w:cstheme="minorHAnsi"/>
          <w:color w:val="000000" w:themeColor="text1"/>
          <w:sz w:val="22"/>
          <w:szCs w:val="22"/>
        </w:rPr>
        <w:tab/>
      </w:r>
      <w:r w:rsidRPr="00666C4F">
        <w:rPr>
          <w:rFonts w:asciiTheme="minorHAnsi" w:hAnsiTheme="minorHAnsi" w:cstheme="minorHAnsi"/>
          <w:color w:val="000000" w:themeColor="text1"/>
          <w:sz w:val="22"/>
          <w:szCs w:val="22"/>
        </w:rPr>
        <w:tab/>
        <w:t xml:space="preserve">F. </w:t>
      </w:r>
      <w:r w:rsidR="6F2294A6" w:rsidRPr="00666C4F">
        <w:rPr>
          <w:rFonts w:asciiTheme="minorHAnsi" w:hAnsiTheme="minorHAnsi" w:cstheme="minorHAnsi"/>
          <w:color w:val="000000" w:themeColor="text1"/>
          <w:sz w:val="22"/>
          <w:szCs w:val="22"/>
        </w:rPr>
        <w:t xml:space="preserve">Chairing and/or serving on thesis and/or dissertation committees; supervising enrolled </w:t>
      </w:r>
      <w:r w:rsidR="6F2294A6" w:rsidRPr="00666C4F">
        <w:rPr>
          <w:rFonts w:asciiTheme="minorHAnsi" w:hAnsiTheme="minorHAnsi" w:cstheme="minorHAnsi"/>
          <w:color w:val="000000" w:themeColor="text1"/>
          <w:sz w:val="22"/>
          <w:szCs w:val="22"/>
        </w:rPr>
        <w:lastRenderedPageBreak/>
        <w:t>students in research papers or projects.</w:t>
      </w:r>
      <w:r w:rsidR="6F2294A6" w:rsidRPr="00666C4F">
        <w:rPr>
          <w:rFonts w:asciiTheme="minorHAnsi" w:hAnsiTheme="minorHAnsi" w:cstheme="minorHAnsi"/>
          <w:sz w:val="22"/>
          <w:szCs w:val="22"/>
        </w:rPr>
        <w:t xml:space="preserve"> </w:t>
      </w:r>
    </w:p>
    <w:p w14:paraId="4B6B614E" w14:textId="77777777" w:rsidR="000B1636" w:rsidRPr="00666C4F" w:rsidRDefault="000B1636" w:rsidP="008F0DC1">
      <w:pPr>
        <w:pStyle w:val="BodyText"/>
        <w:tabs>
          <w:tab w:val="left" w:pos="340"/>
        </w:tabs>
        <w:ind w:left="0" w:right="119"/>
        <w:rPr>
          <w:rFonts w:asciiTheme="minorHAnsi" w:hAnsiTheme="minorHAnsi" w:cstheme="minorHAnsi"/>
          <w:sz w:val="22"/>
          <w:szCs w:val="22"/>
        </w:rPr>
      </w:pPr>
    </w:p>
    <w:p w14:paraId="1725A957" w14:textId="4585F7E1" w:rsidR="003C3EC8" w:rsidRPr="00666C4F" w:rsidRDefault="007D4925" w:rsidP="008F0DC1">
      <w:pPr>
        <w:pStyle w:val="BodyText"/>
        <w:tabs>
          <w:tab w:val="left" w:pos="340"/>
        </w:tabs>
        <w:ind w:left="0"/>
        <w:jc w:val="both"/>
        <w:rPr>
          <w:rFonts w:asciiTheme="minorHAnsi" w:hAnsiTheme="minorHAnsi" w:cstheme="minorHAnsi"/>
          <w:sz w:val="22"/>
          <w:szCs w:val="22"/>
        </w:rPr>
      </w:pPr>
      <w:r w:rsidRPr="00666C4F">
        <w:rPr>
          <w:rFonts w:asciiTheme="minorHAnsi" w:hAnsiTheme="minorHAnsi" w:cstheme="minorHAnsi"/>
          <w:sz w:val="22"/>
          <w:szCs w:val="22"/>
        </w:rPr>
        <w:t>Indicators of achievement include</w:t>
      </w:r>
      <w:r w:rsidR="000B1636" w:rsidRPr="00666C4F">
        <w:rPr>
          <w:rFonts w:asciiTheme="minorHAnsi" w:hAnsiTheme="minorHAnsi" w:cstheme="minorHAnsi"/>
          <w:sz w:val="22"/>
          <w:szCs w:val="22"/>
        </w:rPr>
        <w:t xml:space="preserve"> the following: M</w:t>
      </w:r>
      <w:r w:rsidRPr="00666C4F">
        <w:rPr>
          <w:rFonts w:asciiTheme="minorHAnsi" w:hAnsiTheme="minorHAnsi" w:cstheme="minorHAnsi"/>
          <w:sz w:val="22"/>
          <w:szCs w:val="22"/>
        </w:rPr>
        <w:t xml:space="preserve">easures of student </w:t>
      </w:r>
      <w:r w:rsidR="000B1636" w:rsidRPr="00666C4F">
        <w:rPr>
          <w:rFonts w:asciiTheme="minorHAnsi" w:hAnsiTheme="minorHAnsi" w:cstheme="minorHAnsi"/>
          <w:sz w:val="22"/>
          <w:szCs w:val="22"/>
        </w:rPr>
        <w:t>evaluations of classes,</w:t>
      </w:r>
      <w:r w:rsidRPr="00666C4F">
        <w:rPr>
          <w:rFonts w:asciiTheme="minorHAnsi" w:hAnsiTheme="minorHAnsi" w:cstheme="minorHAnsi"/>
          <w:sz w:val="22"/>
          <w:szCs w:val="22"/>
        </w:rPr>
        <w:t xml:space="preserve"> peer evaluations of classes</w:t>
      </w:r>
      <w:r w:rsidR="000B1636" w:rsidRPr="00666C4F">
        <w:rPr>
          <w:rFonts w:asciiTheme="minorHAnsi" w:hAnsiTheme="minorHAnsi" w:cstheme="minorHAnsi"/>
          <w:sz w:val="22"/>
          <w:szCs w:val="22"/>
        </w:rPr>
        <w:t xml:space="preserve"> (</w:t>
      </w:r>
      <w:r w:rsidRPr="00666C4F">
        <w:rPr>
          <w:rFonts w:asciiTheme="minorHAnsi" w:hAnsiTheme="minorHAnsi" w:cstheme="minorHAnsi"/>
          <w:sz w:val="22"/>
          <w:szCs w:val="22"/>
        </w:rPr>
        <w:t xml:space="preserve">which will include evaluation of course materials and </w:t>
      </w:r>
      <w:r w:rsidR="00C35903" w:rsidRPr="00666C4F">
        <w:rPr>
          <w:rFonts w:asciiTheme="minorHAnsi" w:hAnsiTheme="minorHAnsi" w:cstheme="minorHAnsi"/>
          <w:sz w:val="22"/>
          <w:szCs w:val="22"/>
        </w:rPr>
        <w:t>in-class observation</w:t>
      </w:r>
      <w:r w:rsidR="000B1636" w:rsidRPr="00666C4F">
        <w:rPr>
          <w:rFonts w:asciiTheme="minorHAnsi" w:hAnsiTheme="minorHAnsi" w:cstheme="minorHAnsi"/>
          <w:sz w:val="22"/>
          <w:szCs w:val="22"/>
        </w:rPr>
        <w:t>),</w:t>
      </w:r>
      <w:r w:rsidRPr="00666C4F">
        <w:rPr>
          <w:rFonts w:asciiTheme="minorHAnsi" w:hAnsiTheme="minorHAnsi" w:cstheme="minorHAnsi"/>
          <w:sz w:val="22"/>
          <w:szCs w:val="22"/>
        </w:rPr>
        <w:t xml:space="preserve"> teaching awards</w:t>
      </w:r>
      <w:r w:rsidR="000B1636" w:rsidRPr="00666C4F">
        <w:rPr>
          <w:rFonts w:asciiTheme="minorHAnsi" w:hAnsiTheme="minorHAnsi" w:cstheme="minorHAnsi"/>
          <w:sz w:val="22"/>
          <w:szCs w:val="22"/>
        </w:rPr>
        <w:t>,</w:t>
      </w:r>
      <w:r w:rsidRPr="00666C4F">
        <w:rPr>
          <w:rFonts w:asciiTheme="minorHAnsi" w:hAnsiTheme="minorHAnsi" w:cstheme="minorHAnsi"/>
          <w:sz w:val="22"/>
          <w:szCs w:val="22"/>
        </w:rPr>
        <w:t xml:space="preserve"> the range of classes the candidate has prepared</w:t>
      </w:r>
      <w:r w:rsidR="000B1636" w:rsidRPr="00666C4F">
        <w:rPr>
          <w:rFonts w:asciiTheme="minorHAnsi" w:hAnsiTheme="minorHAnsi" w:cstheme="minorHAnsi"/>
          <w:sz w:val="22"/>
          <w:szCs w:val="22"/>
        </w:rPr>
        <w:t xml:space="preserve"> (</w:t>
      </w:r>
      <w:r w:rsidRPr="00666C4F">
        <w:rPr>
          <w:rFonts w:asciiTheme="minorHAnsi" w:hAnsiTheme="minorHAnsi" w:cstheme="minorHAnsi"/>
          <w:sz w:val="22"/>
          <w:szCs w:val="22"/>
        </w:rPr>
        <w:t xml:space="preserve">with particular attention to those instances in which the candidate has met </w:t>
      </w:r>
      <w:r w:rsidR="0B35627C" w:rsidRPr="00666C4F">
        <w:rPr>
          <w:rFonts w:asciiTheme="minorHAnsi" w:hAnsiTheme="minorHAnsi" w:cstheme="minorHAnsi"/>
          <w:sz w:val="22"/>
          <w:szCs w:val="22"/>
        </w:rPr>
        <w:t>D</w:t>
      </w:r>
      <w:r w:rsidRPr="00666C4F">
        <w:rPr>
          <w:rFonts w:asciiTheme="minorHAnsi" w:hAnsiTheme="minorHAnsi" w:cstheme="minorHAnsi"/>
          <w:sz w:val="22"/>
          <w:szCs w:val="22"/>
        </w:rPr>
        <w:t xml:space="preserve">epartment or </w:t>
      </w:r>
      <w:r w:rsidR="0B35627C" w:rsidRPr="00666C4F">
        <w:rPr>
          <w:rFonts w:asciiTheme="minorHAnsi" w:hAnsiTheme="minorHAnsi" w:cstheme="minorHAnsi"/>
          <w:sz w:val="22"/>
          <w:szCs w:val="22"/>
        </w:rPr>
        <w:t>C</w:t>
      </w:r>
      <w:r w:rsidRPr="00666C4F">
        <w:rPr>
          <w:rFonts w:asciiTheme="minorHAnsi" w:hAnsiTheme="minorHAnsi" w:cstheme="minorHAnsi"/>
          <w:sz w:val="22"/>
          <w:szCs w:val="22"/>
        </w:rPr>
        <w:t>ollege needs by extending his or her teaching competencies beyond his/her fields of graduate study</w:t>
      </w:r>
      <w:r w:rsidR="000B1636" w:rsidRPr="00666C4F">
        <w:rPr>
          <w:rFonts w:asciiTheme="minorHAnsi" w:hAnsiTheme="minorHAnsi" w:cstheme="minorHAnsi"/>
          <w:sz w:val="22"/>
          <w:szCs w:val="22"/>
        </w:rPr>
        <w:t xml:space="preserve">), </w:t>
      </w:r>
      <w:r w:rsidRPr="00666C4F">
        <w:rPr>
          <w:rFonts w:asciiTheme="minorHAnsi" w:hAnsiTheme="minorHAnsi" w:cstheme="minorHAnsi"/>
          <w:sz w:val="22"/>
          <w:szCs w:val="22"/>
        </w:rPr>
        <w:t>evidence of efforts to improve classroom skills or teaching scope</w:t>
      </w:r>
      <w:r w:rsidR="000B1636" w:rsidRPr="00666C4F">
        <w:rPr>
          <w:rFonts w:asciiTheme="minorHAnsi" w:hAnsiTheme="minorHAnsi" w:cstheme="minorHAnsi"/>
          <w:sz w:val="22"/>
          <w:szCs w:val="22"/>
        </w:rPr>
        <w:t>,</w:t>
      </w:r>
      <w:r w:rsidRPr="00666C4F">
        <w:rPr>
          <w:rFonts w:asciiTheme="minorHAnsi" w:hAnsiTheme="minorHAnsi" w:cstheme="minorHAnsi"/>
          <w:sz w:val="22"/>
          <w:szCs w:val="22"/>
        </w:rPr>
        <w:t xml:space="preserve"> evidence of participation in departmental or </w:t>
      </w:r>
      <w:r w:rsidR="000B1636" w:rsidRPr="00666C4F">
        <w:rPr>
          <w:rFonts w:asciiTheme="minorHAnsi" w:hAnsiTheme="minorHAnsi" w:cstheme="minorHAnsi"/>
          <w:sz w:val="22"/>
          <w:szCs w:val="22"/>
        </w:rPr>
        <w:t>U</w:t>
      </w:r>
      <w:r w:rsidRPr="00666C4F">
        <w:rPr>
          <w:rFonts w:asciiTheme="minorHAnsi" w:hAnsiTheme="minorHAnsi" w:cstheme="minorHAnsi"/>
          <w:sz w:val="22"/>
          <w:szCs w:val="22"/>
        </w:rPr>
        <w:t>niversity curricular development</w:t>
      </w:r>
      <w:r w:rsidR="000B1636" w:rsidRPr="00666C4F">
        <w:rPr>
          <w:rFonts w:asciiTheme="minorHAnsi" w:hAnsiTheme="minorHAnsi" w:cstheme="minorHAnsi"/>
          <w:sz w:val="22"/>
          <w:szCs w:val="22"/>
        </w:rPr>
        <w:t xml:space="preserve">, </w:t>
      </w:r>
      <w:r w:rsidRPr="00666C4F">
        <w:rPr>
          <w:rFonts w:asciiTheme="minorHAnsi" w:hAnsiTheme="minorHAnsi" w:cstheme="minorHAnsi"/>
          <w:sz w:val="22"/>
          <w:szCs w:val="22"/>
        </w:rPr>
        <w:t>mentoring of students</w:t>
      </w:r>
      <w:r w:rsidR="000B1636" w:rsidRPr="00666C4F">
        <w:rPr>
          <w:rFonts w:asciiTheme="minorHAnsi" w:hAnsiTheme="minorHAnsi" w:cstheme="minorHAnsi"/>
          <w:sz w:val="22"/>
          <w:szCs w:val="22"/>
        </w:rPr>
        <w:t xml:space="preserve"> (</w:t>
      </w:r>
      <w:r w:rsidRPr="00666C4F">
        <w:rPr>
          <w:rFonts w:asciiTheme="minorHAnsi" w:hAnsiTheme="minorHAnsi" w:cstheme="minorHAnsi"/>
          <w:sz w:val="22"/>
          <w:szCs w:val="22"/>
        </w:rPr>
        <w:t>especially through involvement in faculty research</w:t>
      </w:r>
      <w:r w:rsidR="000B1636" w:rsidRPr="00666C4F">
        <w:rPr>
          <w:rFonts w:asciiTheme="minorHAnsi" w:hAnsiTheme="minorHAnsi" w:cstheme="minorHAnsi"/>
          <w:sz w:val="22"/>
          <w:szCs w:val="22"/>
        </w:rPr>
        <w:t xml:space="preserve">) and </w:t>
      </w:r>
      <w:r w:rsidRPr="00666C4F">
        <w:rPr>
          <w:rFonts w:asciiTheme="minorHAnsi" w:hAnsiTheme="minorHAnsi" w:cstheme="minorHAnsi"/>
          <w:sz w:val="22"/>
          <w:szCs w:val="22"/>
        </w:rPr>
        <w:t>evidence of undergraduate research curricular instruction and community engaged curricular instruction.</w:t>
      </w:r>
    </w:p>
    <w:p w14:paraId="4B94D5A5" w14:textId="77777777" w:rsidR="003C3EC8" w:rsidRPr="00666C4F" w:rsidRDefault="003C3EC8" w:rsidP="008F0DC1">
      <w:pPr>
        <w:rPr>
          <w:rFonts w:eastAsia="Times New Roman" w:cstheme="minorHAnsi"/>
        </w:rPr>
      </w:pPr>
    </w:p>
    <w:p w14:paraId="4988B47E" w14:textId="4259B4EE" w:rsidR="003C3EC8" w:rsidRPr="00666C4F" w:rsidRDefault="000B1636" w:rsidP="008F0DC1">
      <w:pPr>
        <w:pStyle w:val="BodyText"/>
        <w:tabs>
          <w:tab w:val="left" w:pos="340"/>
        </w:tabs>
        <w:ind w:left="0" w:right="107"/>
        <w:rPr>
          <w:rFonts w:asciiTheme="minorHAnsi" w:hAnsiTheme="minorHAnsi" w:cstheme="minorHAnsi"/>
          <w:sz w:val="22"/>
          <w:szCs w:val="22"/>
        </w:rPr>
      </w:pPr>
      <w:r w:rsidRPr="00666C4F">
        <w:rPr>
          <w:rFonts w:asciiTheme="minorHAnsi" w:hAnsiTheme="minorHAnsi" w:cstheme="minorHAnsi"/>
          <w:b/>
          <w:bCs/>
          <w:sz w:val="22"/>
          <w:szCs w:val="22"/>
        </w:rPr>
        <w:tab/>
        <w:t xml:space="preserve">2. </w:t>
      </w:r>
      <w:r w:rsidR="007D4925" w:rsidRPr="00666C4F">
        <w:rPr>
          <w:rFonts w:asciiTheme="minorHAnsi" w:hAnsiTheme="minorHAnsi" w:cstheme="minorHAnsi"/>
          <w:b/>
          <w:bCs/>
          <w:sz w:val="22"/>
          <w:szCs w:val="22"/>
        </w:rPr>
        <w:t>Research</w:t>
      </w:r>
      <w:r w:rsidR="6F2294A6" w:rsidRPr="00666C4F">
        <w:rPr>
          <w:rFonts w:asciiTheme="minorHAnsi" w:hAnsiTheme="minorHAnsi" w:cstheme="minorHAnsi"/>
          <w:b/>
          <w:bCs/>
          <w:sz w:val="22"/>
          <w:szCs w:val="22"/>
        </w:rPr>
        <w:t xml:space="preserve"> Criteria</w:t>
      </w:r>
      <w:r w:rsidR="007D4925" w:rsidRPr="00666C4F">
        <w:rPr>
          <w:rFonts w:asciiTheme="minorHAnsi" w:hAnsiTheme="minorHAnsi" w:cstheme="minorHAnsi"/>
          <w:b/>
          <w:bCs/>
          <w:sz w:val="22"/>
          <w:szCs w:val="22"/>
        </w:rPr>
        <w:t xml:space="preserve">. </w:t>
      </w:r>
      <w:r w:rsidR="007D4925" w:rsidRPr="00666C4F">
        <w:rPr>
          <w:rFonts w:asciiTheme="minorHAnsi" w:hAnsiTheme="minorHAnsi" w:cstheme="minorHAnsi"/>
          <w:sz w:val="22"/>
          <w:szCs w:val="22"/>
        </w:rPr>
        <w:t>Indicators of scholarly achievement include</w:t>
      </w:r>
      <w:r w:rsidR="6F2294A6" w:rsidRPr="00666C4F">
        <w:rPr>
          <w:rFonts w:asciiTheme="minorHAnsi" w:hAnsiTheme="minorHAnsi" w:cstheme="minorHAnsi"/>
          <w:sz w:val="22"/>
          <w:szCs w:val="22"/>
        </w:rPr>
        <w:t>:</w:t>
      </w:r>
    </w:p>
    <w:p w14:paraId="4E3622DC" w14:textId="2BA4211B" w:rsidR="003C3EC8" w:rsidRPr="00666C4F" w:rsidRDefault="000B1636" w:rsidP="008F0DC1">
      <w:pPr>
        <w:pStyle w:val="BodyText"/>
        <w:tabs>
          <w:tab w:val="left" w:pos="340"/>
        </w:tabs>
        <w:ind w:left="0" w:right="107"/>
        <w:rPr>
          <w:rFonts w:asciiTheme="minorHAnsi" w:eastAsiaTheme="minorEastAsia" w:hAnsiTheme="minorHAnsi" w:cstheme="minorHAnsi"/>
          <w:sz w:val="22"/>
          <w:szCs w:val="22"/>
        </w:rPr>
      </w:pPr>
      <w:r w:rsidRPr="00666C4F">
        <w:rPr>
          <w:rFonts w:asciiTheme="minorHAnsi" w:hAnsiTheme="minorHAnsi" w:cstheme="minorHAnsi"/>
          <w:sz w:val="22"/>
          <w:szCs w:val="22"/>
        </w:rPr>
        <w:tab/>
      </w:r>
      <w:r w:rsidRPr="00666C4F">
        <w:rPr>
          <w:rFonts w:asciiTheme="minorHAnsi" w:hAnsiTheme="minorHAnsi" w:cstheme="minorHAnsi"/>
          <w:sz w:val="22"/>
          <w:szCs w:val="22"/>
        </w:rPr>
        <w:tab/>
        <w:t>A.</w:t>
      </w:r>
      <w:r w:rsidR="00033FA4">
        <w:rPr>
          <w:rFonts w:asciiTheme="minorHAnsi" w:hAnsiTheme="minorHAnsi" w:cstheme="minorHAnsi"/>
          <w:sz w:val="22"/>
          <w:szCs w:val="22"/>
        </w:rPr>
        <w:t xml:space="preserve"> </w:t>
      </w:r>
      <w:r w:rsidRPr="00666C4F">
        <w:rPr>
          <w:rFonts w:asciiTheme="minorHAnsi" w:hAnsiTheme="minorHAnsi" w:cstheme="minorHAnsi"/>
          <w:sz w:val="22"/>
          <w:szCs w:val="22"/>
        </w:rPr>
        <w:t>P</w:t>
      </w:r>
      <w:r w:rsidR="0CAA8CD3" w:rsidRPr="00666C4F">
        <w:rPr>
          <w:rFonts w:asciiTheme="minorHAnsi" w:hAnsiTheme="minorHAnsi" w:cstheme="minorHAnsi"/>
          <w:sz w:val="22"/>
          <w:szCs w:val="22"/>
        </w:rPr>
        <w:t>ublication or acceptance of an authored book, edited book or textbook</w:t>
      </w:r>
    </w:p>
    <w:p w14:paraId="67F82337" w14:textId="4895F563" w:rsidR="003C3EC8" w:rsidRPr="00666C4F" w:rsidRDefault="000B1636" w:rsidP="00666C4F">
      <w:pPr>
        <w:pStyle w:val="BodyText"/>
        <w:tabs>
          <w:tab w:val="left" w:pos="340"/>
        </w:tabs>
        <w:ind w:left="720" w:right="101" w:hanging="346"/>
        <w:rPr>
          <w:rFonts w:asciiTheme="minorHAnsi" w:hAnsiTheme="minorHAnsi" w:cstheme="minorHAnsi"/>
          <w:sz w:val="22"/>
          <w:szCs w:val="22"/>
        </w:rPr>
      </w:pPr>
      <w:r w:rsidRPr="00666C4F">
        <w:rPr>
          <w:rFonts w:asciiTheme="minorHAnsi" w:hAnsiTheme="minorHAnsi" w:cstheme="minorHAnsi"/>
          <w:sz w:val="22"/>
          <w:szCs w:val="22"/>
        </w:rPr>
        <w:tab/>
        <w:t xml:space="preserve">B. </w:t>
      </w:r>
      <w:r w:rsidR="0CAA8CD3" w:rsidRPr="00666C4F">
        <w:rPr>
          <w:rFonts w:asciiTheme="minorHAnsi" w:hAnsiTheme="minorHAnsi" w:cstheme="minorHAnsi"/>
          <w:sz w:val="22"/>
          <w:szCs w:val="22"/>
        </w:rPr>
        <w:t>Publication of a peer reviewed article or book chapter with national or international distribution.</w:t>
      </w:r>
    </w:p>
    <w:p w14:paraId="5CDB2116" w14:textId="73DC6A75" w:rsidR="003C3EC8" w:rsidRPr="00666C4F" w:rsidRDefault="000B1636" w:rsidP="000B1636">
      <w:pPr>
        <w:pStyle w:val="BodyText"/>
        <w:tabs>
          <w:tab w:val="left" w:pos="340"/>
        </w:tabs>
        <w:spacing w:line="245" w:lineRule="auto"/>
        <w:ind w:right="107"/>
        <w:rPr>
          <w:rFonts w:asciiTheme="minorHAnsi" w:eastAsiaTheme="minorEastAsia" w:hAnsiTheme="minorHAnsi" w:cstheme="minorHAnsi"/>
          <w:sz w:val="22"/>
          <w:szCs w:val="22"/>
        </w:rPr>
      </w:pPr>
      <w:r w:rsidRPr="00666C4F">
        <w:rPr>
          <w:rFonts w:asciiTheme="minorHAnsi" w:hAnsiTheme="minorHAnsi" w:cstheme="minorHAnsi"/>
          <w:sz w:val="22"/>
          <w:szCs w:val="22"/>
        </w:rPr>
        <w:tab/>
      </w:r>
      <w:r w:rsidRPr="00666C4F">
        <w:rPr>
          <w:rFonts w:asciiTheme="minorHAnsi" w:hAnsiTheme="minorHAnsi" w:cstheme="minorHAnsi"/>
          <w:sz w:val="22"/>
          <w:szCs w:val="22"/>
        </w:rPr>
        <w:tab/>
        <w:t xml:space="preserve">C. </w:t>
      </w:r>
      <w:r w:rsidR="0CAA8CD3" w:rsidRPr="00666C4F">
        <w:rPr>
          <w:rFonts w:asciiTheme="minorHAnsi" w:hAnsiTheme="minorHAnsi" w:cstheme="minorHAnsi"/>
          <w:sz w:val="22"/>
          <w:szCs w:val="22"/>
        </w:rPr>
        <w:t>Edits a special issue of a journal.</w:t>
      </w:r>
    </w:p>
    <w:p w14:paraId="613063D3" w14:textId="682649B4" w:rsidR="003C3EC8" w:rsidRPr="00666C4F" w:rsidRDefault="0CAA8CD3" w:rsidP="00211C65">
      <w:pPr>
        <w:tabs>
          <w:tab w:val="left" w:pos="340"/>
        </w:tabs>
        <w:spacing w:line="245" w:lineRule="auto"/>
        <w:ind w:left="100"/>
        <w:jc w:val="both"/>
        <w:rPr>
          <w:rFonts w:eastAsiaTheme="minorEastAsia" w:cstheme="minorHAnsi"/>
        </w:rPr>
      </w:pPr>
      <w:r w:rsidRPr="00666C4F">
        <w:rPr>
          <w:rFonts w:eastAsia="Times New Roman" w:cstheme="minorHAnsi"/>
        </w:rPr>
        <w:t xml:space="preserve">     </w:t>
      </w:r>
      <w:r w:rsidR="000B1636" w:rsidRPr="00666C4F">
        <w:rPr>
          <w:rFonts w:eastAsia="Times New Roman" w:cstheme="minorHAnsi"/>
        </w:rPr>
        <w:tab/>
        <w:t xml:space="preserve">D. </w:t>
      </w:r>
      <w:r w:rsidRPr="00666C4F">
        <w:rPr>
          <w:rFonts w:eastAsia="Times New Roman" w:cstheme="minorHAnsi"/>
        </w:rPr>
        <w:t>Publication of a peer reviewed book chapter.</w:t>
      </w:r>
    </w:p>
    <w:p w14:paraId="4D5735EE" w14:textId="15B2362D" w:rsidR="003C3EC8" w:rsidRPr="00666C4F" w:rsidRDefault="0CAA8CD3" w:rsidP="00211C65">
      <w:pPr>
        <w:tabs>
          <w:tab w:val="left" w:pos="340"/>
        </w:tabs>
        <w:spacing w:line="245" w:lineRule="auto"/>
        <w:ind w:left="-140" w:firstLine="240"/>
        <w:jc w:val="both"/>
        <w:rPr>
          <w:rFonts w:eastAsiaTheme="minorEastAsia" w:cstheme="minorHAnsi"/>
        </w:rPr>
      </w:pPr>
      <w:r w:rsidRPr="00666C4F">
        <w:rPr>
          <w:rFonts w:eastAsia="Times New Roman" w:cstheme="minorHAnsi"/>
        </w:rPr>
        <w:t xml:space="preserve">     </w:t>
      </w:r>
      <w:r w:rsidR="000B1636" w:rsidRPr="00666C4F">
        <w:rPr>
          <w:rFonts w:eastAsia="Times New Roman" w:cstheme="minorHAnsi"/>
        </w:rPr>
        <w:tab/>
        <w:t xml:space="preserve">E. </w:t>
      </w:r>
      <w:r w:rsidRPr="00666C4F">
        <w:rPr>
          <w:rFonts w:eastAsia="Times New Roman" w:cstheme="minorHAnsi"/>
        </w:rPr>
        <w:t xml:space="preserve">Publication in a peer reviewed conference proceeding. </w:t>
      </w:r>
    </w:p>
    <w:p w14:paraId="123078C9" w14:textId="0E96433A" w:rsidR="003C3EC8" w:rsidRPr="00666C4F" w:rsidRDefault="6F2294A6" w:rsidP="00666C4F">
      <w:pPr>
        <w:tabs>
          <w:tab w:val="left" w:pos="340"/>
        </w:tabs>
        <w:ind w:left="720" w:hanging="346"/>
        <w:jc w:val="both"/>
        <w:rPr>
          <w:rFonts w:eastAsia="Times New Roman" w:cstheme="minorHAnsi"/>
        </w:rPr>
      </w:pPr>
      <w:r w:rsidRPr="00666C4F">
        <w:rPr>
          <w:rFonts w:eastAsia="Times New Roman" w:cstheme="minorHAnsi"/>
        </w:rPr>
        <w:t xml:space="preserve">  </w:t>
      </w:r>
      <w:r w:rsidR="000B1636" w:rsidRPr="00666C4F">
        <w:rPr>
          <w:rFonts w:eastAsia="Times New Roman" w:cstheme="minorHAnsi"/>
        </w:rPr>
        <w:tab/>
        <w:t xml:space="preserve">F. </w:t>
      </w:r>
      <w:r w:rsidRPr="00666C4F">
        <w:rPr>
          <w:rFonts w:eastAsia="Times New Roman" w:cstheme="minorHAnsi"/>
        </w:rPr>
        <w:t>Submission/receives an external grant(s). Grants should be identified as national or international, state and local</w:t>
      </w:r>
      <w:r w:rsidR="000B1636" w:rsidRPr="00666C4F">
        <w:rPr>
          <w:rFonts w:eastAsia="Times New Roman" w:cstheme="minorHAnsi"/>
        </w:rPr>
        <w:t xml:space="preserve"> </w:t>
      </w:r>
      <w:r w:rsidRPr="00666C4F">
        <w:rPr>
          <w:rFonts w:eastAsia="Times New Roman" w:cstheme="minorHAnsi"/>
        </w:rPr>
        <w:t>or internal FAU grants.</w:t>
      </w:r>
    </w:p>
    <w:p w14:paraId="075839DD" w14:textId="359DC4EA" w:rsidR="003C3EC8" w:rsidRPr="00666C4F" w:rsidRDefault="6F2294A6" w:rsidP="0CAA8CD3">
      <w:pPr>
        <w:tabs>
          <w:tab w:val="left" w:pos="340"/>
        </w:tabs>
        <w:spacing w:line="245" w:lineRule="auto"/>
        <w:ind w:left="-140" w:firstLine="140"/>
        <w:jc w:val="both"/>
        <w:rPr>
          <w:rFonts w:eastAsiaTheme="minorEastAsia" w:cstheme="minorHAnsi"/>
        </w:rPr>
      </w:pPr>
      <w:r w:rsidRPr="00666C4F">
        <w:rPr>
          <w:rFonts w:eastAsia="Times New Roman" w:cstheme="minorHAnsi"/>
        </w:rPr>
        <w:t xml:space="preserve">  </w:t>
      </w:r>
      <w:r w:rsidR="00666C4F">
        <w:rPr>
          <w:rFonts w:eastAsia="Times New Roman" w:cstheme="minorHAnsi"/>
        </w:rPr>
        <w:tab/>
      </w:r>
      <w:r w:rsidRPr="00666C4F">
        <w:rPr>
          <w:rFonts w:eastAsia="Times New Roman" w:cstheme="minorHAnsi"/>
        </w:rPr>
        <w:t xml:space="preserve">    </w:t>
      </w:r>
      <w:r w:rsidR="000B1636" w:rsidRPr="00666C4F">
        <w:rPr>
          <w:rFonts w:eastAsia="Times New Roman" w:cstheme="minorHAnsi"/>
        </w:rPr>
        <w:tab/>
        <w:t xml:space="preserve">G. </w:t>
      </w:r>
      <w:r w:rsidRPr="00666C4F">
        <w:rPr>
          <w:rFonts w:eastAsia="Times New Roman" w:cstheme="minorHAnsi"/>
        </w:rPr>
        <w:t xml:space="preserve">Publication of an encyclopedia entry. </w:t>
      </w:r>
    </w:p>
    <w:p w14:paraId="43F90EBF" w14:textId="7098F495" w:rsidR="003C3EC8" w:rsidRPr="00666C4F" w:rsidRDefault="000B1636" w:rsidP="00211C65">
      <w:pPr>
        <w:tabs>
          <w:tab w:val="left" w:pos="340"/>
        </w:tabs>
        <w:spacing w:line="245" w:lineRule="auto"/>
        <w:ind w:left="-140"/>
        <w:jc w:val="both"/>
        <w:rPr>
          <w:rFonts w:eastAsiaTheme="minorEastAsia" w:cstheme="minorHAnsi"/>
        </w:rPr>
      </w:pPr>
      <w:r w:rsidRPr="00666C4F">
        <w:rPr>
          <w:rFonts w:eastAsia="Times New Roman" w:cstheme="minorHAnsi"/>
        </w:rPr>
        <w:tab/>
      </w:r>
      <w:r w:rsidR="6F2294A6" w:rsidRPr="00666C4F">
        <w:rPr>
          <w:rFonts w:eastAsia="Times New Roman" w:cstheme="minorHAnsi"/>
        </w:rPr>
        <w:t xml:space="preserve">     </w:t>
      </w:r>
      <w:r w:rsidR="00666C4F">
        <w:rPr>
          <w:rFonts w:eastAsia="Times New Roman" w:cstheme="minorHAnsi"/>
        </w:rPr>
        <w:t xml:space="preserve">  </w:t>
      </w:r>
      <w:r w:rsidRPr="00666C4F">
        <w:rPr>
          <w:rFonts w:eastAsia="Times New Roman" w:cstheme="minorHAnsi"/>
        </w:rPr>
        <w:t xml:space="preserve">H. </w:t>
      </w:r>
      <w:r w:rsidR="6F2294A6" w:rsidRPr="00666C4F">
        <w:rPr>
          <w:rFonts w:eastAsia="Times New Roman" w:cstheme="minorHAnsi"/>
        </w:rPr>
        <w:t>Publication of a book review.</w:t>
      </w:r>
    </w:p>
    <w:p w14:paraId="5185EA82" w14:textId="00980B5F" w:rsidR="003C3EC8" w:rsidRPr="00666C4F" w:rsidRDefault="2011D874" w:rsidP="00211C65">
      <w:pPr>
        <w:tabs>
          <w:tab w:val="left" w:pos="340"/>
        </w:tabs>
        <w:spacing w:line="245" w:lineRule="auto"/>
        <w:ind w:left="-140"/>
        <w:jc w:val="both"/>
        <w:rPr>
          <w:rFonts w:eastAsiaTheme="minorEastAsia" w:cstheme="minorHAnsi"/>
        </w:rPr>
      </w:pPr>
      <w:r w:rsidRPr="00666C4F">
        <w:rPr>
          <w:rFonts w:eastAsia="Times New Roman" w:cstheme="minorHAnsi"/>
        </w:rPr>
        <w:t xml:space="preserve">       </w:t>
      </w:r>
      <w:r w:rsidR="00666C4F">
        <w:rPr>
          <w:rFonts w:eastAsia="Times New Roman" w:cstheme="minorHAnsi"/>
        </w:rPr>
        <w:tab/>
      </w:r>
      <w:r w:rsidRPr="00666C4F">
        <w:rPr>
          <w:rFonts w:eastAsia="Times New Roman" w:cstheme="minorHAnsi"/>
        </w:rPr>
        <w:t xml:space="preserve"> </w:t>
      </w:r>
      <w:r w:rsidR="000B1636" w:rsidRPr="00666C4F">
        <w:rPr>
          <w:rFonts w:eastAsia="Times New Roman" w:cstheme="minorHAnsi"/>
        </w:rPr>
        <w:tab/>
        <w:t xml:space="preserve">I. </w:t>
      </w:r>
      <w:r w:rsidRPr="00666C4F">
        <w:rPr>
          <w:rFonts w:eastAsia="Times New Roman" w:cstheme="minorHAnsi"/>
        </w:rPr>
        <w:t xml:space="preserve">Publication of an </w:t>
      </w:r>
      <w:r w:rsidR="000E31EE" w:rsidRPr="00666C4F">
        <w:rPr>
          <w:rFonts w:eastAsia="Times New Roman" w:cstheme="minorHAnsi"/>
        </w:rPr>
        <w:t>o</w:t>
      </w:r>
      <w:r w:rsidRPr="00666C4F">
        <w:rPr>
          <w:rFonts w:eastAsia="Times New Roman" w:cstheme="minorHAnsi"/>
        </w:rPr>
        <w:t xml:space="preserve">p-ed piece. </w:t>
      </w:r>
    </w:p>
    <w:p w14:paraId="77ACFC20" w14:textId="5850F1E7" w:rsidR="003C3EC8" w:rsidRPr="00666C4F" w:rsidRDefault="6F2294A6" w:rsidP="00211C65">
      <w:pPr>
        <w:tabs>
          <w:tab w:val="left" w:pos="340"/>
        </w:tabs>
        <w:spacing w:line="245" w:lineRule="auto"/>
        <w:ind w:left="-140"/>
        <w:jc w:val="both"/>
        <w:rPr>
          <w:rFonts w:eastAsiaTheme="minorEastAsia" w:cstheme="minorHAnsi"/>
        </w:rPr>
      </w:pPr>
      <w:r w:rsidRPr="00666C4F">
        <w:rPr>
          <w:rFonts w:eastAsia="Times New Roman" w:cstheme="minorHAnsi"/>
        </w:rPr>
        <w:t xml:space="preserve">       </w:t>
      </w:r>
      <w:r w:rsidR="000B1636" w:rsidRPr="00666C4F">
        <w:rPr>
          <w:rFonts w:eastAsia="Times New Roman" w:cstheme="minorHAnsi"/>
        </w:rPr>
        <w:tab/>
      </w:r>
      <w:r w:rsidR="000B1636" w:rsidRPr="00666C4F">
        <w:rPr>
          <w:rFonts w:eastAsia="Times New Roman" w:cstheme="minorHAnsi"/>
        </w:rPr>
        <w:tab/>
        <w:t xml:space="preserve">J. </w:t>
      </w:r>
      <w:r w:rsidRPr="00666C4F">
        <w:rPr>
          <w:rFonts w:eastAsia="Times New Roman" w:cstheme="minorHAnsi"/>
        </w:rPr>
        <w:t>Presentation of paper(s) at conference(s).</w:t>
      </w:r>
      <w:r w:rsidRPr="00666C4F">
        <w:rPr>
          <w:rFonts w:cstheme="minorHAnsi"/>
        </w:rPr>
        <w:t xml:space="preserve"> </w:t>
      </w:r>
    </w:p>
    <w:p w14:paraId="6E01B598" w14:textId="353B8636" w:rsidR="1358EC7D" w:rsidRPr="00666C4F" w:rsidRDefault="6F2294A6" w:rsidP="1358EC7D">
      <w:pPr>
        <w:spacing w:line="245" w:lineRule="auto"/>
        <w:ind w:left="-140"/>
        <w:jc w:val="both"/>
        <w:rPr>
          <w:rFonts w:eastAsia="Times New Roman" w:cstheme="minorHAnsi"/>
        </w:rPr>
      </w:pPr>
      <w:r w:rsidRPr="00666C4F">
        <w:rPr>
          <w:rFonts w:cstheme="minorHAnsi"/>
        </w:rPr>
        <w:t xml:space="preserve">        </w:t>
      </w:r>
      <w:r w:rsidR="000B1636" w:rsidRPr="00666C4F">
        <w:rPr>
          <w:rFonts w:cstheme="minorHAnsi"/>
        </w:rPr>
        <w:tab/>
        <w:t xml:space="preserve">K. </w:t>
      </w:r>
      <w:r w:rsidRPr="00666C4F">
        <w:rPr>
          <w:rFonts w:eastAsia="Times New Roman" w:cstheme="minorHAnsi"/>
        </w:rPr>
        <w:t xml:space="preserve">Community-engaged research projects. </w:t>
      </w:r>
    </w:p>
    <w:p w14:paraId="62486C05" w14:textId="3B068DB9" w:rsidR="003C3EC8" w:rsidRPr="00666C4F" w:rsidRDefault="003C3EC8" w:rsidP="008F0DC1">
      <w:pPr>
        <w:rPr>
          <w:rFonts w:eastAsia="Times New Roman" w:cstheme="minorHAnsi"/>
        </w:rPr>
      </w:pPr>
    </w:p>
    <w:p w14:paraId="60D4D916" w14:textId="6CAB7C95" w:rsidR="003C3EC8" w:rsidRPr="00666C4F" w:rsidRDefault="2011D874" w:rsidP="008F0DC1">
      <w:pPr>
        <w:pStyle w:val="BodyText"/>
        <w:ind w:right="285"/>
        <w:jc w:val="both"/>
        <w:rPr>
          <w:rFonts w:asciiTheme="minorHAnsi" w:hAnsiTheme="minorHAnsi" w:cstheme="minorHAnsi"/>
          <w:sz w:val="22"/>
          <w:szCs w:val="22"/>
        </w:rPr>
      </w:pPr>
      <w:r w:rsidRPr="00666C4F">
        <w:rPr>
          <w:rFonts w:asciiTheme="minorHAnsi" w:hAnsiTheme="minorHAnsi" w:cstheme="minorHAnsi"/>
          <w:sz w:val="22"/>
          <w:szCs w:val="22"/>
        </w:rPr>
        <w:t xml:space="preserve">The expectations for research and scholarship are that the individual has produced research and publications that are regarded by others in the field to be of good quality and to have </w:t>
      </w:r>
      <w:proofErr w:type="gramStart"/>
      <w:r w:rsidRPr="00666C4F">
        <w:rPr>
          <w:rFonts w:asciiTheme="minorHAnsi" w:hAnsiTheme="minorHAnsi" w:cstheme="minorHAnsi"/>
          <w:sz w:val="22"/>
          <w:szCs w:val="22"/>
        </w:rPr>
        <w:t>made a contribution</w:t>
      </w:r>
      <w:proofErr w:type="gramEnd"/>
      <w:r w:rsidRPr="00666C4F">
        <w:rPr>
          <w:rFonts w:asciiTheme="minorHAnsi" w:hAnsiTheme="minorHAnsi" w:cstheme="minorHAnsi"/>
          <w:sz w:val="22"/>
          <w:szCs w:val="22"/>
        </w:rPr>
        <w:t xml:space="preserve"> to the field. However, judgments are not made simply on the basis of the number of publications. A smaller number of high-quality articles may be considered superior to a larger number of lower quality articles.  In addition, the Department recognizes various forms of scholarship including community-engaged scholarship which is a legitimate form of research and such research is characterized by collaborative efforts with local organizations or agencies. </w:t>
      </w:r>
    </w:p>
    <w:p w14:paraId="151A078B" w14:textId="0A7068F6" w:rsidR="003C3EC8" w:rsidRPr="00666C4F" w:rsidRDefault="003C3EC8" w:rsidP="008F0DC1">
      <w:pPr>
        <w:pStyle w:val="BodyText"/>
        <w:ind w:right="285"/>
        <w:jc w:val="both"/>
        <w:rPr>
          <w:rFonts w:asciiTheme="minorHAnsi" w:hAnsiTheme="minorHAnsi" w:cstheme="minorHAnsi"/>
          <w:sz w:val="22"/>
          <w:szCs w:val="22"/>
        </w:rPr>
      </w:pPr>
    </w:p>
    <w:p w14:paraId="3F240ED0" w14:textId="48A145F4" w:rsidR="003C3EC8" w:rsidRPr="00666C4F" w:rsidRDefault="2011D874" w:rsidP="008F0DC1">
      <w:pPr>
        <w:pStyle w:val="BodyText"/>
        <w:ind w:right="285"/>
        <w:jc w:val="both"/>
        <w:rPr>
          <w:rFonts w:asciiTheme="minorHAnsi" w:hAnsiTheme="minorHAnsi" w:cstheme="minorHAnsi"/>
          <w:sz w:val="22"/>
          <w:szCs w:val="22"/>
        </w:rPr>
      </w:pPr>
      <w:r w:rsidRPr="00666C4F">
        <w:rPr>
          <w:rFonts w:asciiTheme="minorHAnsi" w:hAnsiTheme="minorHAnsi" w:cstheme="minorHAnsi"/>
          <w:sz w:val="22"/>
          <w:szCs w:val="22"/>
        </w:rPr>
        <w:t xml:space="preserve">In political science, co-authorship is common. Moreover, co-authorship in this discipline normally means that each co-author contributes substantially to the publication. We do not regard co-authorship as undesirable, nor do we discourage individuals from collaborative research work. Therefore, we do not expect that individuals have a publication record that consists largely of single-authored items; although, some colleagues may choose to do so. The same principles apply to co-edited work. Individuals who engage in collaborative research should be prepared to describe their contribution to the collaborative project. In addition, interdisciplinary work has long been recognized as legitimate political science research. The Department </w:t>
      </w:r>
      <w:proofErr w:type="gramStart"/>
      <w:r w:rsidRPr="00666C4F">
        <w:rPr>
          <w:rFonts w:asciiTheme="minorHAnsi" w:hAnsiTheme="minorHAnsi" w:cstheme="minorHAnsi"/>
          <w:sz w:val="22"/>
          <w:szCs w:val="22"/>
        </w:rPr>
        <w:t>gives full consideration to</w:t>
      </w:r>
      <w:proofErr w:type="gramEnd"/>
      <w:r w:rsidRPr="00666C4F">
        <w:rPr>
          <w:rFonts w:asciiTheme="minorHAnsi" w:hAnsiTheme="minorHAnsi" w:cstheme="minorHAnsi"/>
          <w:sz w:val="22"/>
          <w:szCs w:val="22"/>
        </w:rPr>
        <w:t xml:space="preserve"> interdisciplinary and/or multidisciplinary research.</w:t>
      </w:r>
    </w:p>
    <w:p w14:paraId="7D94F993" w14:textId="779F1E49" w:rsidR="003C3EC8" w:rsidRPr="00666C4F" w:rsidRDefault="003C3EC8" w:rsidP="008F0DC1">
      <w:pPr>
        <w:pStyle w:val="BodyText"/>
        <w:ind w:right="285"/>
        <w:jc w:val="both"/>
        <w:rPr>
          <w:rFonts w:asciiTheme="minorHAnsi" w:hAnsiTheme="minorHAnsi" w:cstheme="minorHAnsi"/>
          <w:sz w:val="22"/>
          <w:szCs w:val="22"/>
        </w:rPr>
      </w:pPr>
    </w:p>
    <w:p w14:paraId="16534BA7" w14:textId="0D400A97" w:rsidR="003C3EC8" w:rsidRPr="00666C4F" w:rsidRDefault="007D4925" w:rsidP="008F0DC1">
      <w:pPr>
        <w:pStyle w:val="BodyText"/>
        <w:ind w:right="285"/>
        <w:jc w:val="both"/>
        <w:rPr>
          <w:rFonts w:asciiTheme="minorHAnsi" w:hAnsiTheme="minorHAnsi" w:cstheme="minorHAnsi"/>
          <w:sz w:val="22"/>
          <w:szCs w:val="22"/>
        </w:rPr>
      </w:pPr>
      <w:r w:rsidRPr="00666C4F">
        <w:rPr>
          <w:rFonts w:asciiTheme="minorHAnsi" w:hAnsiTheme="minorHAnsi" w:cstheme="minorHAnsi"/>
          <w:sz w:val="22"/>
          <w:szCs w:val="22"/>
        </w:rPr>
        <w:t>A candidate should submit summaries of research</w:t>
      </w:r>
      <w:r w:rsidR="00684F41" w:rsidRPr="00666C4F">
        <w:rPr>
          <w:rFonts w:asciiTheme="minorHAnsi" w:hAnsiTheme="minorHAnsi" w:cstheme="minorHAnsi"/>
          <w:sz w:val="22"/>
          <w:szCs w:val="22"/>
        </w:rPr>
        <w:t xml:space="preserve"> </w:t>
      </w:r>
      <w:r w:rsidRPr="00666C4F">
        <w:rPr>
          <w:rFonts w:asciiTheme="minorHAnsi" w:hAnsiTheme="minorHAnsi" w:cstheme="minorHAnsi"/>
          <w:sz w:val="22"/>
          <w:szCs w:val="22"/>
        </w:rPr>
        <w:t xml:space="preserve">in progress as part of the portfolio </w:t>
      </w:r>
      <w:r w:rsidR="16674F42" w:rsidRPr="00666C4F">
        <w:rPr>
          <w:rFonts w:asciiTheme="minorHAnsi" w:hAnsiTheme="minorHAnsi" w:cstheme="minorHAnsi"/>
          <w:sz w:val="22"/>
          <w:szCs w:val="22"/>
        </w:rPr>
        <w:t xml:space="preserve">because the </w:t>
      </w:r>
      <w:r w:rsidR="6F2294A6" w:rsidRPr="00666C4F">
        <w:rPr>
          <w:rFonts w:asciiTheme="minorHAnsi" w:hAnsiTheme="minorHAnsi" w:cstheme="minorHAnsi"/>
          <w:sz w:val="22"/>
          <w:szCs w:val="22"/>
        </w:rPr>
        <w:t>D</w:t>
      </w:r>
      <w:r w:rsidRPr="00666C4F">
        <w:rPr>
          <w:rFonts w:asciiTheme="minorHAnsi" w:hAnsiTheme="minorHAnsi" w:cstheme="minorHAnsi"/>
          <w:sz w:val="22"/>
          <w:szCs w:val="22"/>
        </w:rPr>
        <w:t xml:space="preserve">epartment considers works in progress when </w:t>
      </w:r>
      <w:r w:rsidR="0CAA8CD3" w:rsidRPr="00666C4F">
        <w:rPr>
          <w:rFonts w:asciiTheme="minorHAnsi" w:hAnsiTheme="minorHAnsi" w:cstheme="minorHAnsi"/>
          <w:sz w:val="22"/>
          <w:szCs w:val="22"/>
        </w:rPr>
        <w:t>evaluating</w:t>
      </w:r>
      <w:r w:rsidR="1358EC7D" w:rsidRPr="00666C4F">
        <w:rPr>
          <w:rFonts w:asciiTheme="minorHAnsi" w:hAnsiTheme="minorHAnsi" w:cstheme="minorHAnsi"/>
          <w:sz w:val="22"/>
          <w:szCs w:val="22"/>
        </w:rPr>
        <w:t xml:space="preserve"> candidates.</w:t>
      </w:r>
    </w:p>
    <w:p w14:paraId="4101652C" w14:textId="77777777" w:rsidR="003C3EC8" w:rsidRPr="00666C4F" w:rsidRDefault="003C3EC8" w:rsidP="008F0DC1">
      <w:pPr>
        <w:rPr>
          <w:rFonts w:eastAsia="Times New Roman" w:cstheme="minorHAnsi"/>
        </w:rPr>
      </w:pPr>
    </w:p>
    <w:p w14:paraId="5B1523C2" w14:textId="60CADC12" w:rsidR="003C3EC8" w:rsidRPr="00666C4F" w:rsidRDefault="00684F41" w:rsidP="008F0DC1">
      <w:pPr>
        <w:pStyle w:val="BodyText"/>
        <w:tabs>
          <w:tab w:val="left" w:pos="340"/>
        </w:tabs>
        <w:ind w:right="541"/>
        <w:jc w:val="both"/>
        <w:rPr>
          <w:rFonts w:asciiTheme="minorHAnsi" w:hAnsiTheme="minorHAnsi" w:cstheme="minorHAnsi"/>
          <w:sz w:val="22"/>
          <w:szCs w:val="22"/>
        </w:rPr>
      </w:pPr>
      <w:r w:rsidRPr="00666C4F">
        <w:rPr>
          <w:rFonts w:asciiTheme="minorHAnsi" w:hAnsiTheme="minorHAnsi" w:cstheme="minorHAnsi"/>
          <w:b/>
          <w:bCs/>
          <w:sz w:val="22"/>
          <w:szCs w:val="22"/>
        </w:rPr>
        <w:tab/>
        <w:t xml:space="preserve">3. </w:t>
      </w:r>
      <w:r w:rsidR="007D4925" w:rsidRPr="00666C4F">
        <w:rPr>
          <w:rFonts w:asciiTheme="minorHAnsi" w:hAnsiTheme="minorHAnsi" w:cstheme="minorHAnsi"/>
          <w:b/>
          <w:bCs/>
          <w:sz w:val="22"/>
          <w:szCs w:val="22"/>
        </w:rPr>
        <w:t xml:space="preserve">Service: </w:t>
      </w:r>
      <w:r w:rsidR="007D4925" w:rsidRPr="00666C4F">
        <w:rPr>
          <w:rFonts w:asciiTheme="minorHAnsi" w:hAnsiTheme="minorHAnsi" w:cstheme="minorHAnsi"/>
          <w:sz w:val="22"/>
          <w:szCs w:val="22"/>
        </w:rPr>
        <w:t xml:space="preserve">An Assistant Professor may develop a satisfactory service record in a variety of ways, </w:t>
      </w:r>
      <w:r w:rsidR="007D4925" w:rsidRPr="00666C4F">
        <w:rPr>
          <w:rFonts w:asciiTheme="minorHAnsi" w:hAnsiTheme="minorHAnsi" w:cstheme="minorHAnsi"/>
          <w:sz w:val="22"/>
          <w:szCs w:val="22"/>
        </w:rPr>
        <w:lastRenderedPageBreak/>
        <w:t xml:space="preserve">but the typical pattern will focus heavily on service to the </w:t>
      </w:r>
      <w:r w:rsidR="2011D874" w:rsidRPr="00666C4F">
        <w:rPr>
          <w:rFonts w:asciiTheme="minorHAnsi" w:hAnsiTheme="minorHAnsi" w:cstheme="minorHAnsi"/>
          <w:sz w:val="22"/>
          <w:szCs w:val="22"/>
        </w:rPr>
        <w:t>D</w:t>
      </w:r>
      <w:r w:rsidR="007D4925" w:rsidRPr="00666C4F">
        <w:rPr>
          <w:rFonts w:asciiTheme="minorHAnsi" w:hAnsiTheme="minorHAnsi" w:cstheme="minorHAnsi"/>
          <w:sz w:val="22"/>
          <w:szCs w:val="22"/>
        </w:rPr>
        <w:t xml:space="preserve">epartment and at least one </w:t>
      </w:r>
      <w:r w:rsidR="2011D874" w:rsidRPr="00666C4F">
        <w:rPr>
          <w:rFonts w:asciiTheme="minorHAnsi" w:hAnsiTheme="minorHAnsi" w:cstheme="minorHAnsi"/>
          <w:sz w:val="22"/>
          <w:szCs w:val="22"/>
        </w:rPr>
        <w:t>U</w:t>
      </w:r>
      <w:r w:rsidR="007D4925" w:rsidRPr="00666C4F">
        <w:rPr>
          <w:rFonts w:asciiTheme="minorHAnsi" w:hAnsiTheme="minorHAnsi" w:cstheme="minorHAnsi"/>
          <w:sz w:val="22"/>
          <w:szCs w:val="22"/>
        </w:rPr>
        <w:t xml:space="preserve">niversity </w:t>
      </w:r>
      <w:r w:rsidR="2011D874" w:rsidRPr="00666C4F">
        <w:rPr>
          <w:rFonts w:asciiTheme="minorHAnsi" w:hAnsiTheme="minorHAnsi" w:cstheme="minorHAnsi"/>
          <w:sz w:val="22"/>
          <w:szCs w:val="22"/>
        </w:rPr>
        <w:t>and/</w:t>
      </w:r>
      <w:r w:rsidR="007D4925" w:rsidRPr="00666C4F">
        <w:rPr>
          <w:rFonts w:asciiTheme="minorHAnsi" w:hAnsiTheme="minorHAnsi" w:cstheme="minorHAnsi"/>
          <w:sz w:val="22"/>
          <w:szCs w:val="22"/>
        </w:rPr>
        <w:t xml:space="preserve">or </w:t>
      </w:r>
      <w:r w:rsidR="2011D874" w:rsidRPr="00666C4F">
        <w:rPr>
          <w:rFonts w:asciiTheme="minorHAnsi" w:hAnsiTheme="minorHAnsi" w:cstheme="minorHAnsi"/>
          <w:sz w:val="22"/>
          <w:szCs w:val="22"/>
        </w:rPr>
        <w:t>C</w:t>
      </w:r>
      <w:r w:rsidR="007D4925" w:rsidRPr="00666C4F">
        <w:rPr>
          <w:rFonts w:asciiTheme="minorHAnsi" w:hAnsiTheme="minorHAnsi" w:cstheme="minorHAnsi"/>
          <w:sz w:val="22"/>
          <w:szCs w:val="22"/>
        </w:rPr>
        <w:t>ollege committee or task force. If the candidate’s service record cannot be accurately described by a narrative, letters of evaluation from those qualified to document the service should be provided.</w:t>
      </w:r>
    </w:p>
    <w:p w14:paraId="3CF2D8B6" w14:textId="77777777" w:rsidR="003C3EC8" w:rsidRPr="00666C4F" w:rsidRDefault="003C3EC8" w:rsidP="008F0DC1">
      <w:pPr>
        <w:jc w:val="both"/>
        <w:rPr>
          <w:rFonts w:eastAsia="Times New Roman" w:cstheme="minorHAnsi"/>
        </w:rPr>
      </w:pPr>
    </w:p>
    <w:p w14:paraId="13E495FA" w14:textId="2794E365" w:rsidR="003C3EC8" w:rsidRPr="00666C4F" w:rsidRDefault="007D4925" w:rsidP="008F0DC1">
      <w:pPr>
        <w:pStyle w:val="BodyText"/>
        <w:ind w:right="300"/>
        <w:jc w:val="both"/>
        <w:rPr>
          <w:rFonts w:asciiTheme="minorHAnsi" w:hAnsiTheme="minorHAnsi" w:cstheme="minorHAnsi"/>
          <w:sz w:val="22"/>
          <w:szCs w:val="22"/>
        </w:rPr>
      </w:pPr>
      <w:r w:rsidRPr="00666C4F">
        <w:rPr>
          <w:rFonts w:asciiTheme="minorHAnsi" w:hAnsiTheme="minorHAnsi" w:cstheme="minorHAnsi"/>
          <w:sz w:val="22"/>
          <w:szCs w:val="22"/>
        </w:rPr>
        <w:t>Service to the institution, profession, community and public schools, and the application of one’s expertise to community-engaged activities and undergraduate research that support the mission and strategic goals of the university and the community</w:t>
      </w:r>
      <w:r w:rsidR="00684F41" w:rsidRPr="00666C4F">
        <w:rPr>
          <w:rFonts w:asciiTheme="minorHAnsi" w:hAnsiTheme="minorHAnsi" w:cstheme="minorHAnsi"/>
          <w:sz w:val="22"/>
          <w:szCs w:val="22"/>
        </w:rPr>
        <w:t>,</w:t>
      </w:r>
      <w:r w:rsidRPr="00666C4F">
        <w:rPr>
          <w:rFonts w:asciiTheme="minorHAnsi" w:hAnsiTheme="minorHAnsi" w:cstheme="minorHAnsi"/>
          <w:sz w:val="22"/>
          <w:szCs w:val="22"/>
        </w:rPr>
        <w:t xml:space="preserve"> and address community needs, shall also be considered.</w:t>
      </w:r>
    </w:p>
    <w:p w14:paraId="0FB78278" w14:textId="77777777" w:rsidR="003C3EC8" w:rsidRPr="00666C4F" w:rsidRDefault="003C3EC8" w:rsidP="008F0DC1">
      <w:pPr>
        <w:rPr>
          <w:rFonts w:eastAsia="Times New Roman" w:cstheme="minorHAnsi"/>
        </w:rPr>
      </w:pPr>
    </w:p>
    <w:p w14:paraId="10EDB1DC" w14:textId="360ABB6D" w:rsidR="003C3EC8" w:rsidRPr="00666C4F" w:rsidRDefault="00684F41" w:rsidP="00684F41">
      <w:pPr>
        <w:pStyle w:val="Heading1"/>
        <w:tabs>
          <w:tab w:val="left" w:pos="393"/>
        </w:tabs>
        <w:ind w:left="0" w:firstLine="0"/>
        <w:rPr>
          <w:rFonts w:asciiTheme="minorHAnsi" w:hAnsiTheme="minorHAnsi" w:cstheme="minorHAnsi"/>
          <w:b w:val="0"/>
          <w:bCs w:val="0"/>
          <w:sz w:val="22"/>
          <w:szCs w:val="22"/>
        </w:rPr>
      </w:pPr>
      <w:r w:rsidRPr="00666C4F">
        <w:rPr>
          <w:rFonts w:asciiTheme="minorHAnsi" w:hAnsiTheme="minorHAnsi" w:cstheme="minorHAnsi"/>
          <w:sz w:val="22"/>
          <w:szCs w:val="22"/>
        </w:rPr>
        <w:t xml:space="preserve">C. </w:t>
      </w:r>
      <w:r w:rsidR="007D4925" w:rsidRPr="00666C4F">
        <w:rPr>
          <w:rFonts w:asciiTheme="minorHAnsi" w:hAnsiTheme="minorHAnsi" w:cstheme="minorHAnsi"/>
          <w:sz w:val="22"/>
          <w:szCs w:val="22"/>
        </w:rPr>
        <w:t>Tenure</w:t>
      </w:r>
    </w:p>
    <w:p w14:paraId="1FC39945" w14:textId="77777777" w:rsidR="003C3EC8" w:rsidRPr="00666C4F" w:rsidRDefault="003C3EC8" w:rsidP="00684F41">
      <w:pPr>
        <w:rPr>
          <w:rFonts w:eastAsia="Times New Roman" w:cstheme="minorHAnsi"/>
          <w:b/>
          <w:bCs/>
        </w:rPr>
      </w:pPr>
    </w:p>
    <w:p w14:paraId="284567A1" w14:textId="2C3941F5" w:rsidR="003C3EC8" w:rsidRPr="00666C4F" w:rsidRDefault="007D4925" w:rsidP="00684F41">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 xml:space="preserve">Tenure is granted when a faculty member has demonstrated a strong commitment to a high level of performance in teaching, research and service and is likely to maintain a high level of performance in teaching, research and service </w:t>
      </w:r>
      <w:r w:rsidR="00033FA4" w:rsidRPr="00666C4F">
        <w:rPr>
          <w:rFonts w:asciiTheme="minorHAnsi" w:hAnsiTheme="minorHAnsi" w:cstheme="minorHAnsi"/>
          <w:sz w:val="22"/>
          <w:szCs w:val="22"/>
        </w:rPr>
        <w:t>and be</w:t>
      </w:r>
      <w:r w:rsidRPr="00666C4F">
        <w:rPr>
          <w:rFonts w:asciiTheme="minorHAnsi" w:hAnsiTheme="minorHAnsi" w:cstheme="minorHAnsi"/>
          <w:sz w:val="22"/>
          <w:szCs w:val="22"/>
        </w:rPr>
        <w:t xml:space="preserve"> expected to continue contributing to the development of the Department, College and University.</w:t>
      </w:r>
      <w:r w:rsidR="000E31EE" w:rsidRPr="00666C4F">
        <w:rPr>
          <w:rFonts w:asciiTheme="minorHAnsi" w:hAnsiTheme="minorHAnsi" w:cstheme="minorHAnsi"/>
          <w:sz w:val="22"/>
          <w:szCs w:val="22"/>
        </w:rPr>
        <w:t xml:space="preserve"> In order to be tenured, an assistant professor must meet the criteria for promotion to Associate Professor.</w:t>
      </w:r>
    </w:p>
    <w:p w14:paraId="62BC4261" w14:textId="77777777" w:rsidR="00684F41" w:rsidRPr="00666C4F" w:rsidRDefault="00684F41" w:rsidP="00684F41">
      <w:pPr>
        <w:pStyle w:val="BodyText"/>
        <w:tabs>
          <w:tab w:val="left" w:pos="340"/>
        </w:tabs>
        <w:ind w:left="0"/>
        <w:rPr>
          <w:rFonts w:asciiTheme="minorHAnsi" w:hAnsiTheme="minorHAnsi" w:cstheme="minorHAnsi"/>
          <w:b/>
          <w:sz w:val="22"/>
          <w:szCs w:val="22"/>
        </w:rPr>
      </w:pPr>
    </w:p>
    <w:p w14:paraId="68D2BE4A" w14:textId="0DBB3A67" w:rsidR="003C3EC8" w:rsidRPr="00666C4F" w:rsidRDefault="00684F41" w:rsidP="00684F41">
      <w:pPr>
        <w:pStyle w:val="BodyText"/>
        <w:tabs>
          <w:tab w:val="left" w:pos="340"/>
        </w:tabs>
        <w:ind w:left="0"/>
        <w:rPr>
          <w:rFonts w:asciiTheme="minorHAnsi" w:hAnsiTheme="minorHAnsi" w:cstheme="minorHAnsi"/>
          <w:b/>
          <w:bCs/>
          <w:sz w:val="22"/>
          <w:szCs w:val="22"/>
        </w:rPr>
      </w:pPr>
      <w:r w:rsidRPr="00666C4F">
        <w:rPr>
          <w:rFonts w:asciiTheme="minorHAnsi" w:hAnsiTheme="minorHAnsi" w:cstheme="minorHAnsi"/>
          <w:b/>
          <w:sz w:val="22"/>
          <w:szCs w:val="22"/>
        </w:rPr>
        <w:t>ARTICLE 3</w:t>
      </w:r>
      <w:r w:rsidR="0025232D" w:rsidRPr="00666C4F">
        <w:rPr>
          <w:rFonts w:asciiTheme="minorHAnsi" w:hAnsiTheme="minorHAnsi" w:cstheme="minorHAnsi"/>
          <w:b/>
          <w:sz w:val="22"/>
          <w:szCs w:val="22"/>
        </w:rPr>
        <w:t xml:space="preserve">. </w:t>
      </w:r>
      <w:r w:rsidR="007D4925" w:rsidRPr="00666C4F">
        <w:rPr>
          <w:rFonts w:asciiTheme="minorHAnsi" w:hAnsiTheme="minorHAnsi" w:cstheme="minorHAnsi"/>
          <w:b/>
          <w:sz w:val="22"/>
          <w:szCs w:val="22"/>
        </w:rPr>
        <w:t>PROMOTION TO PROFESSOR</w:t>
      </w:r>
    </w:p>
    <w:p w14:paraId="5997CC1D" w14:textId="77777777" w:rsidR="003C3EC8" w:rsidRPr="00666C4F" w:rsidRDefault="003C3EC8">
      <w:pPr>
        <w:rPr>
          <w:rFonts w:eastAsia="Times New Roman" w:cstheme="minorHAnsi"/>
          <w:b/>
          <w:bCs/>
        </w:rPr>
      </w:pPr>
    </w:p>
    <w:p w14:paraId="1FF3FC5E" w14:textId="409728C1" w:rsidR="002312C1" w:rsidRPr="00666C4F" w:rsidRDefault="002312C1" w:rsidP="00684F41">
      <w:pPr>
        <w:pStyle w:val="BodyText"/>
        <w:ind w:left="0"/>
        <w:jc w:val="both"/>
        <w:rPr>
          <w:rFonts w:asciiTheme="minorHAnsi" w:hAnsiTheme="minorHAnsi" w:cstheme="minorHAnsi"/>
          <w:b/>
          <w:sz w:val="22"/>
          <w:szCs w:val="22"/>
        </w:rPr>
      </w:pPr>
      <w:r w:rsidRPr="00666C4F">
        <w:rPr>
          <w:rFonts w:asciiTheme="minorHAnsi" w:hAnsiTheme="minorHAnsi" w:cstheme="minorHAnsi"/>
          <w:b/>
          <w:sz w:val="22"/>
          <w:szCs w:val="22"/>
        </w:rPr>
        <w:t xml:space="preserve">A. General Policy: </w:t>
      </w:r>
    </w:p>
    <w:p w14:paraId="02034CFB" w14:textId="28A0C698" w:rsidR="002312C1" w:rsidRPr="00666C4F" w:rsidRDefault="002312C1" w:rsidP="00684F41">
      <w:pPr>
        <w:pStyle w:val="BodyText"/>
        <w:ind w:left="0"/>
        <w:jc w:val="both"/>
        <w:rPr>
          <w:rFonts w:asciiTheme="minorHAnsi" w:hAnsiTheme="minorHAnsi" w:cstheme="minorHAnsi"/>
          <w:b/>
          <w:sz w:val="22"/>
          <w:szCs w:val="22"/>
        </w:rPr>
      </w:pPr>
      <w:r w:rsidRPr="00666C4F">
        <w:rPr>
          <w:rFonts w:asciiTheme="minorHAnsi" w:hAnsiTheme="minorHAnsi" w:cstheme="minorHAnsi"/>
          <w:sz w:val="22"/>
          <w:szCs w:val="22"/>
        </w:rPr>
        <w:t>While demonstrated merit, not years of service, shall be the primary factor in determining the case for promotion to Professor, no earlier than five years completed in rank from the year that the promotion became effective, may be considered the norm for promotion from Associate to Professor. Years in rank and sustained productivity at FAU are particularly important.</w:t>
      </w:r>
    </w:p>
    <w:p w14:paraId="2E5D52BB" w14:textId="77777777" w:rsidR="002312C1" w:rsidRPr="00666C4F" w:rsidRDefault="002312C1" w:rsidP="00684F41">
      <w:pPr>
        <w:pStyle w:val="BodyText"/>
        <w:ind w:left="0"/>
        <w:jc w:val="both"/>
        <w:rPr>
          <w:rFonts w:asciiTheme="minorHAnsi" w:hAnsiTheme="minorHAnsi" w:cstheme="minorHAnsi"/>
          <w:b/>
          <w:sz w:val="22"/>
          <w:szCs w:val="22"/>
        </w:rPr>
      </w:pPr>
    </w:p>
    <w:p w14:paraId="02DE8E61" w14:textId="6E257744" w:rsidR="00684F41" w:rsidRPr="00666C4F" w:rsidRDefault="002312C1" w:rsidP="00684F41">
      <w:pPr>
        <w:pStyle w:val="BodyText"/>
        <w:ind w:left="0"/>
        <w:jc w:val="both"/>
        <w:rPr>
          <w:rFonts w:asciiTheme="minorHAnsi" w:hAnsiTheme="minorHAnsi" w:cstheme="minorHAnsi"/>
          <w:sz w:val="22"/>
          <w:szCs w:val="22"/>
        </w:rPr>
      </w:pPr>
      <w:r w:rsidRPr="00666C4F">
        <w:rPr>
          <w:rFonts w:asciiTheme="minorHAnsi" w:hAnsiTheme="minorHAnsi" w:cstheme="minorHAnsi"/>
          <w:b/>
          <w:sz w:val="22"/>
          <w:szCs w:val="22"/>
        </w:rPr>
        <w:t>B</w:t>
      </w:r>
      <w:r w:rsidR="00684F41" w:rsidRPr="00666C4F">
        <w:rPr>
          <w:rFonts w:asciiTheme="minorHAnsi" w:hAnsiTheme="minorHAnsi" w:cstheme="minorHAnsi"/>
          <w:b/>
          <w:sz w:val="22"/>
          <w:szCs w:val="22"/>
        </w:rPr>
        <w:t xml:space="preserve">. </w:t>
      </w:r>
      <w:r w:rsidRPr="00666C4F">
        <w:rPr>
          <w:rFonts w:asciiTheme="minorHAnsi" w:hAnsiTheme="minorHAnsi" w:cstheme="minorHAnsi"/>
          <w:b/>
          <w:sz w:val="22"/>
          <w:szCs w:val="22"/>
        </w:rPr>
        <w:t>Promotion to Professor</w:t>
      </w:r>
      <w:r w:rsidR="00684F41" w:rsidRPr="00666C4F">
        <w:rPr>
          <w:rFonts w:asciiTheme="minorHAnsi" w:hAnsiTheme="minorHAnsi" w:cstheme="minorHAnsi"/>
          <w:b/>
          <w:sz w:val="22"/>
          <w:szCs w:val="22"/>
        </w:rPr>
        <w:t>:</w:t>
      </w:r>
    </w:p>
    <w:p w14:paraId="7233EFC9" w14:textId="7D3FCFB6" w:rsidR="003C3EC8" w:rsidRPr="00666C4F" w:rsidRDefault="007D4925" w:rsidP="00684F41">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 xml:space="preserve">The typical candidate promoted to Full Professor will demonstrate a record of excellence in research over the span of the academic career, teaching that is positively evaluated by </w:t>
      </w:r>
      <w:r w:rsidR="6F2294A6" w:rsidRPr="00666C4F">
        <w:rPr>
          <w:rFonts w:asciiTheme="minorHAnsi" w:hAnsiTheme="minorHAnsi" w:cstheme="minorHAnsi"/>
          <w:sz w:val="22"/>
          <w:szCs w:val="22"/>
        </w:rPr>
        <w:t xml:space="preserve">students and </w:t>
      </w:r>
      <w:r w:rsidRPr="00666C4F">
        <w:rPr>
          <w:rFonts w:asciiTheme="minorHAnsi" w:hAnsiTheme="minorHAnsi" w:cstheme="minorHAnsi"/>
          <w:sz w:val="22"/>
          <w:szCs w:val="22"/>
        </w:rPr>
        <w:t xml:space="preserve">peers and </w:t>
      </w:r>
      <w:r w:rsidR="6F2294A6" w:rsidRPr="00666C4F">
        <w:rPr>
          <w:rFonts w:asciiTheme="minorHAnsi" w:hAnsiTheme="minorHAnsi" w:cstheme="minorHAnsi"/>
          <w:sz w:val="22"/>
          <w:szCs w:val="22"/>
        </w:rPr>
        <w:t>substantial</w:t>
      </w:r>
      <w:r w:rsidRPr="00666C4F">
        <w:rPr>
          <w:rFonts w:asciiTheme="minorHAnsi" w:hAnsiTheme="minorHAnsi" w:cstheme="minorHAnsi"/>
          <w:sz w:val="22"/>
          <w:szCs w:val="22"/>
        </w:rPr>
        <w:t xml:space="preserve"> service. Th</w:t>
      </w:r>
      <w:r w:rsidR="6F2294A6" w:rsidRPr="00666C4F">
        <w:rPr>
          <w:rFonts w:asciiTheme="minorHAnsi" w:hAnsiTheme="minorHAnsi" w:cstheme="minorHAnsi"/>
          <w:sz w:val="22"/>
          <w:szCs w:val="22"/>
        </w:rPr>
        <w:t>e</w:t>
      </w:r>
      <w:r w:rsidRPr="00666C4F">
        <w:rPr>
          <w:rFonts w:asciiTheme="minorHAnsi" w:hAnsiTheme="minorHAnsi" w:cstheme="minorHAnsi"/>
          <w:sz w:val="22"/>
          <w:szCs w:val="22"/>
        </w:rPr>
        <w:t xml:space="preserve"> research record will include, since promotion to Associate Professor, a reasonable number of significant pieces</w:t>
      </w:r>
      <w:r w:rsidR="002312C1" w:rsidRPr="00666C4F">
        <w:rPr>
          <w:rFonts w:asciiTheme="minorHAnsi" w:hAnsiTheme="minorHAnsi" w:cstheme="minorHAnsi"/>
          <w:sz w:val="22"/>
          <w:szCs w:val="22"/>
        </w:rPr>
        <w:t>.</w:t>
      </w:r>
      <w:r w:rsidRPr="00666C4F">
        <w:rPr>
          <w:rFonts w:asciiTheme="minorHAnsi" w:hAnsiTheme="minorHAnsi" w:cstheme="minorHAnsi"/>
          <w:sz w:val="22"/>
          <w:szCs w:val="22"/>
        </w:rPr>
        <w:t xml:space="preserve"> The teaching record will earn generally favorable evaluations by both peers and students. The candidate will also have a record of conscientious and consistent participation in college and university committee work, typically increased in breadth and responsibility beyond that appropriate to the junior rank.</w:t>
      </w:r>
    </w:p>
    <w:p w14:paraId="110FFD37" w14:textId="77777777" w:rsidR="003C3EC8" w:rsidRPr="00666C4F" w:rsidRDefault="003C3EC8" w:rsidP="00684F41">
      <w:pPr>
        <w:jc w:val="both"/>
        <w:rPr>
          <w:rFonts w:eastAsia="Times New Roman" w:cstheme="minorHAnsi"/>
        </w:rPr>
      </w:pPr>
    </w:p>
    <w:p w14:paraId="4158BD8E" w14:textId="279F74E4" w:rsidR="003C3EC8" w:rsidRPr="00666C4F" w:rsidRDefault="007D4925" w:rsidP="00684F41">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Other, less typical patterns of achievement may also earn promotion to Professor. A faculty member with an outstanding and distinguished research record developed since promotion to Associate Professor, one that involves a large number of outstanding journal articles or a book or books of acknowledged and unusual significance to the discipline, may receive a positive recommendation for promotion with a satisfactory record in teaching, advising and service.</w:t>
      </w:r>
    </w:p>
    <w:p w14:paraId="6B699379" w14:textId="77777777" w:rsidR="003C3EC8" w:rsidRPr="00666C4F" w:rsidRDefault="003C3EC8" w:rsidP="00684F41">
      <w:pPr>
        <w:jc w:val="both"/>
        <w:rPr>
          <w:rFonts w:eastAsia="Times New Roman" w:cstheme="minorHAnsi"/>
        </w:rPr>
      </w:pPr>
    </w:p>
    <w:p w14:paraId="02E3C3F2" w14:textId="3943E848" w:rsidR="0025232D" w:rsidRPr="00666C4F" w:rsidRDefault="007D4925" w:rsidP="00684F41">
      <w:pPr>
        <w:pStyle w:val="BodyText"/>
        <w:ind w:left="0"/>
        <w:jc w:val="both"/>
        <w:rPr>
          <w:rFonts w:asciiTheme="minorHAnsi" w:hAnsiTheme="minorHAnsi" w:cstheme="minorHAnsi"/>
          <w:sz w:val="22"/>
          <w:szCs w:val="22"/>
        </w:rPr>
      </w:pPr>
      <w:r w:rsidRPr="00666C4F">
        <w:rPr>
          <w:rFonts w:asciiTheme="minorHAnsi" w:hAnsiTheme="minorHAnsi" w:cstheme="minorHAnsi"/>
          <w:sz w:val="22"/>
          <w:szCs w:val="22"/>
        </w:rPr>
        <w:t>In the decision for promotion to Professor, annual evaluations should be considered as one element of the entire record.</w:t>
      </w:r>
    </w:p>
    <w:p w14:paraId="7D32F00A" w14:textId="77777777" w:rsidR="002312C1" w:rsidRPr="00666C4F" w:rsidRDefault="002312C1" w:rsidP="00684F41">
      <w:pPr>
        <w:pStyle w:val="BodyText"/>
        <w:ind w:left="0"/>
        <w:jc w:val="both"/>
        <w:rPr>
          <w:rFonts w:asciiTheme="minorHAnsi" w:hAnsiTheme="minorHAnsi" w:cstheme="minorHAnsi"/>
          <w:sz w:val="22"/>
          <w:szCs w:val="22"/>
        </w:rPr>
      </w:pPr>
    </w:p>
    <w:p w14:paraId="70EF1C75" w14:textId="2C29BB84" w:rsidR="003C3EC8" w:rsidRPr="00666C4F" w:rsidRDefault="002312C1" w:rsidP="002312C1">
      <w:pPr>
        <w:pStyle w:val="BodyText"/>
        <w:tabs>
          <w:tab w:val="left" w:pos="346"/>
        </w:tabs>
        <w:ind w:left="0"/>
        <w:jc w:val="both"/>
        <w:rPr>
          <w:rFonts w:asciiTheme="minorHAnsi" w:hAnsiTheme="minorHAnsi" w:cstheme="minorHAnsi"/>
          <w:sz w:val="22"/>
          <w:szCs w:val="22"/>
        </w:rPr>
      </w:pPr>
      <w:r w:rsidRPr="00666C4F">
        <w:rPr>
          <w:rFonts w:asciiTheme="minorHAnsi" w:hAnsiTheme="minorHAnsi" w:cstheme="minorHAnsi"/>
          <w:b/>
          <w:sz w:val="22"/>
          <w:szCs w:val="22"/>
        </w:rPr>
        <w:tab/>
        <w:t>1</w:t>
      </w:r>
      <w:r w:rsidR="0025232D" w:rsidRPr="00666C4F">
        <w:rPr>
          <w:rFonts w:asciiTheme="minorHAnsi" w:hAnsiTheme="minorHAnsi" w:cstheme="minorHAnsi"/>
          <w:b/>
          <w:sz w:val="22"/>
          <w:szCs w:val="22"/>
        </w:rPr>
        <w:t xml:space="preserve">. </w:t>
      </w:r>
      <w:r w:rsidR="007D4925" w:rsidRPr="00666C4F">
        <w:rPr>
          <w:rFonts w:asciiTheme="minorHAnsi" w:hAnsiTheme="minorHAnsi" w:cstheme="minorHAnsi"/>
          <w:b/>
          <w:sz w:val="22"/>
          <w:szCs w:val="22"/>
        </w:rPr>
        <w:t>Teaching</w:t>
      </w:r>
      <w:r w:rsidRPr="00666C4F">
        <w:rPr>
          <w:rFonts w:asciiTheme="minorHAnsi" w:hAnsiTheme="minorHAnsi" w:cstheme="minorHAnsi"/>
          <w:b/>
          <w:sz w:val="22"/>
          <w:szCs w:val="22"/>
        </w:rPr>
        <w:t xml:space="preserve"> Criteria</w:t>
      </w:r>
      <w:r w:rsidR="007D4925" w:rsidRPr="00666C4F">
        <w:rPr>
          <w:rFonts w:asciiTheme="minorHAnsi" w:hAnsiTheme="minorHAnsi" w:cstheme="minorHAnsi"/>
          <w:b/>
          <w:sz w:val="22"/>
          <w:szCs w:val="22"/>
        </w:rPr>
        <w:t xml:space="preserve">. </w:t>
      </w:r>
      <w:r w:rsidR="007D4925" w:rsidRPr="00666C4F">
        <w:rPr>
          <w:rFonts w:asciiTheme="minorHAnsi" w:hAnsiTheme="minorHAnsi" w:cstheme="minorHAnsi"/>
          <w:sz w:val="22"/>
          <w:szCs w:val="22"/>
        </w:rPr>
        <w:t xml:space="preserve">To be promoted, most faculty members will need to demonstrate that they have improved their teaching beyond the level attained at the time of promotion to Associate. In addition, the faculty member should have broadened his or her teaching through at least some of the following: </w:t>
      </w:r>
      <w:r w:rsidR="00524430" w:rsidRPr="00666C4F">
        <w:rPr>
          <w:rFonts w:asciiTheme="minorHAnsi" w:hAnsiTheme="minorHAnsi" w:cstheme="minorHAnsi"/>
          <w:sz w:val="22"/>
          <w:szCs w:val="22"/>
        </w:rPr>
        <w:t>T</w:t>
      </w:r>
      <w:r w:rsidR="007D4925" w:rsidRPr="00666C4F">
        <w:rPr>
          <w:rFonts w:asciiTheme="minorHAnsi" w:hAnsiTheme="minorHAnsi" w:cstheme="minorHAnsi"/>
          <w:sz w:val="22"/>
          <w:szCs w:val="22"/>
        </w:rPr>
        <w:t xml:space="preserve">he development of new courses and revision of old ones; participation in curricular initiatives; significant </w:t>
      </w:r>
      <w:r w:rsidR="007D4925" w:rsidRPr="00666C4F">
        <w:rPr>
          <w:rFonts w:asciiTheme="minorHAnsi" w:hAnsiTheme="minorHAnsi" w:cstheme="minorHAnsi"/>
          <w:sz w:val="22"/>
          <w:szCs w:val="22"/>
        </w:rPr>
        <w:lastRenderedPageBreak/>
        <w:t xml:space="preserve">contributions to the development of the </w:t>
      </w:r>
      <w:r w:rsidR="00524430" w:rsidRPr="00666C4F">
        <w:rPr>
          <w:rFonts w:asciiTheme="minorHAnsi" w:hAnsiTheme="minorHAnsi" w:cstheme="minorHAnsi"/>
          <w:sz w:val="22"/>
          <w:szCs w:val="22"/>
        </w:rPr>
        <w:t>U</w:t>
      </w:r>
      <w:r w:rsidR="007D4925" w:rsidRPr="00666C4F">
        <w:rPr>
          <w:rFonts w:asciiTheme="minorHAnsi" w:hAnsiTheme="minorHAnsi" w:cstheme="minorHAnsi"/>
          <w:sz w:val="22"/>
          <w:szCs w:val="22"/>
        </w:rPr>
        <w:t>niversity's programs (</w:t>
      </w:r>
      <w:r w:rsidR="007D4925" w:rsidRPr="00666C4F">
        <w:rPr>
          <w:rFonts w:asciiTheme="minorHAnsi" w:hAnsiTheme="minorHAnsi" w:cstheme="minorHAnsi"/>
          <w:i/>
          <w:sz w:val="22"/>
          <w:szCs w:val="22"/>
        </w:rPr>
        <w:t>e.g.</w:t>
      </w:r>
      <w:r w:rsidR="007D4925" w:rsidRPr="00666C4F">
        <w:rPr>
          <w:rFonts w:asciiTheme="minorHAnsi" w:hAnsiTheme="minorHAnsi" w:cstheme="minorHAnsi"/>
          <w:sz w:val="22"/>
          <w:szCs w:val="22"/>
        </w:rPr>
        <w:t xml:space="preserve">, working on </w:t>
      </w:r>
      <w:r w:rsidR="00524430" w:rsidRPr="00666C4F">
        <w:rPr>
          <w:rFonts w:asciiTheme="minorHAnsi" w:hAnsiTheme="minorHAnsi" w:cstheme="minorHAnsi"/>
          <w:sz w:val="22"/>
          <w:szCs w:val="22"/>
        </w:rPr>
        <w:t>U</w:t>
      </w:r>
      <w:r w:rsidR="007D4925" w:rsidRPr="00666C4F">
        <w:rPr>
          <w:rFonts w:asciiTheme="minorHAnsi" w:hAnsiTheme="minorHAnsi" w:cstheme="minorHAnsi"/>
          <w:sz w:val="22"/>
          <w:szCs w:val="22"/>
        </w:rPr>
        <w:t xml:space="preserve">niversity committees or projects related to instruction, working in inter-disciplinary programs, working on programs within the </w:t>
      </w:r>
      <w:r w:rsidR="00524430" w:rsidRPr="00666C4F">
        <w:rPr>
          <w:rFonts w:asciiTheme="minorHAnsi" w:hAnsiTheme="minorHAnsi" w:cstheme="minorHAnsi"/>
          <w:sz w:val="22"/>
          <w:szCs w:val="22"/>
        </w:rPr>
        <w:t>D</w:t>
      </w:r>
      <w:r w:rsidR="007D4925" w:rsidRPr="00666C4F">
        <w:rPr>
          <w:rFonts w:asciiTheme="minorHAnsi" w:hAnsiTheme="minorHAnsi" w:cstheme="minorHAnsi"/>
          <w:sz w:val="22"/>
          <w:szCs w:val="22"/>
        </w:rPr>
        <w:t>epartment or discipline); working with students in the graduate program, particularly as a thesis advisor; participation in undergraduate research curricular instruction, and community engaged curricular instruction and similar activities. The candidate who is distinguished by his or her teaching accomplishments will have engaged in a broader range of teaching activities than the typical senior faculty member, as well as in other and innovative efforts to improve the quality of instruction at the university through, for example, helping junior faculty with their teaching or work in special programs (</w:t>
      </w:r>
      <w:r w:rsidR="007D4925" w:rsidRPr="00666C4F">
        <w:rPr>
          <w:rFonts w:asciiTheme="minorHAnsi" w:hAnsiTheme="minorHAnsi" w:cstheme="minorHAnsi"/>
          <w:i/>
          <w:sz w:val="22"/>
          <w:szCs w:val="22"/>
        </w:rPr>
        <w:t>e.g.</w:t>
      </w:r>
      <w:r w:rsidR="007D4925" w:rsidRPr="00666C4F">
        <w:rPr>
          <w:rFonts w:asciiTheme="minorHAnsi" w:hAnsiTheme="minorHAnsi" w:cstheme="minorHAnsi"/>
          <w:sz w:val="22"/>
          <w:szCs w:val="22"/>
        </w:rPr>
        <w:t xml:space="preserve">, </w:t>
      </w:r>
      <w:r w:rsidRPr="00666C4F">
        <w:rPr>
          <w:rFonts w:asciiTheme="minorHAnsi" w:hAnsiTheme="minorHAnsi" w:cstheme="minorHAnsi"/>
          <w:sz w:val="22"/>
          <w:szCs w:val="22"/>
        </w:rPr>
        <w:t>h</w:t>
      </w:r>
      <w:r w:rsidR="007D4925" w:rsidRPr="00666C4F">
        <w:rPr>
          <w:rFonts w:asciiTheme="minorHAnsi" w:hAnsiTheme="minorHAnsi" w:cstheme="minorHAnsi"/>
          <w:sz w:val="22"/>
          <w:szCs w:val="22"/>
        </w:rPr>
        <w:t>onors).</w:t>
      </w:r>
      <w:r w:rsidRPr="00666C4F">
        <w:rPr>
          <w:rFonts w:asciiTheme="minorHAnsi" w:hAnsiTheme="minorHAnsi" w:cstheme="minorHAnsi"/>
          <w:sz w:val="22"/>
          <w:szCs w:val="22"/>
        </w:rPr>
        <w:t xml:space="preserve"> </w:t>
      </w:r>
      <w:r w:rsidR="007D4925" w:rsidRPr="00666C4F">
        <w:rPr>
          <w:rFonts w:asciiTheme="minorHAnsi" w:hAnsiTheme="minorHAnsi" w:cstheme="minorHAnsi"/>
          <w:sz w:val="22"/>
          <w:szCs w:val="22"/>
        </w:rPr>
        <w:t xml:space="preserve">Peer evaluation of teaching material will </w:t>
      </w:r>
      <w:r w:rsidR="00524430" w:rsidRPr="00666C4F">
        <w:rPr>
          <w:rFonts w:asciiTheme="minorHAnsi" w:hAnsiTheme="minorHAnsi" w:cstheme="minorHAnsi"/>
          <w:sz w:val="22"/>
          <w:szCs w:val="22"/>
        </w:rPr>
        <w:t xml:space="preserve">also </w:t>
      </w:r>
      <w:r w:rsidR="007D4925" w:rsidRPr="00666C4F">
        <w:rPr>
          <w:rFonts w:asciiTheme="minorHAnsi" w:hAnsiTheme="minorHAnsi" w:cstheme="minorHAnsi"/>
          <w:sz w:val="22"/>
          <w:szCs w:val="22"/>
        </w:rPr>
        <w:t>be used following the same procedures established for promotion to Associate Professor. Peers will evaluate the degree to which the candidate has provided evidence of improvement (if possible) in the quality of his/her classroom teaching and of increased breadth of instructional contribution.</w:t>
      </w:r>
    </w:p>
    <w:p w14:paraId="6BB9E253" w14:textId="77777777" w:rsidR="003C3EC8" w:rsidRPr="00666C4F" w:rsidRDefault="003C3EC8">
      <w:pPr>
        <w:spacing w:before="6"/>
        <w:rPr>
          <w:rFonts w:eastAsia="Times New Roman" w:cstheme="minorHAnsi"/>
        </w:rPr>
      </w:pPr>
    </w:p>
    <w:p w14:paraId="7CFD1D76" w14:textId="2F438EF3" w:rsidR="003C3EC8" w:rsidRPr="00666C4F" w:rsidRDefault="00524430" w:rsidP="00524430">
      <w:pPr>
        <w:tabs>
          <w:tab w:val="left" w:pos="340"/>
        </w:tabs>
        <w:jc w:val="both"/>
        <w:rPr>
          <w:rFonts w:cstheme="minorHAnsi"/>
        </w:rPr>
      </w:pPr>
      <w:r w:rsidRPr="00666C4F">
        <w:rPr>
          <w:rFonts w:cstheme="minorHAnsi"/>
          <w:b/>
          <w:bCs/>
        </w:rPr>
        <w:tab/>
      </w:r>
      <w:r w:rsidR="0025232D" w:rsidRPr="00666C4F">
        <w:rPr>
          <w:rFonts w:cstheme="minorHAnsi"/>
          <w:b/>
          <w:bCs/>
        </w:rPr>
        <w:t xml:space="preserve">2. </w:t>
      </w:r>
      <w:r w:rsidR="007D4925" w:rsidRPr="00666C4F">
        <w:rPr>
          <w:rFonts w:cstheme="minorHAnsi"/>
          <w:b/>
          <w:bCs/>
        </w:rPr>
        <w:t>Research</w:t>
      </w:r>
      <w:r w:rsidR="0025232D" w:rsidRPr="00666C4F">
        <w:rPr>
          <w:rFonts w:cstheme="minorHAnsi"/>
          <w:b/>
          <w:bCs/>
        </w:rPr>
        <w:t xml:space="preserve"> </w:t>
      </w:r>
      <w:r w:rsidR="007D4925" w:rsidRPr="00666C4F">
        <w:rPr>
          <w:rFonts w:cstheme="minorHAnsi"/>
          <w:b/>
          <w:bCs/>
        </w:rPr>
        <w:t xml:space="preserve">Activity. </w:t>
      </w:r>
      <w:r w:rsidR="007D4925" w:rsidRPr="00666C4F">
        <w:rPr>
          <w:rFonts w:cstheme="minorHAnsi"/>
        </w:rPr>
        <w:t>A favorable recommendation for promotion to</w:t>
      </w:r>
      <w:r w:rsidRPr="00666C4F">
        <w:rPr>
          <w:rFonts w:cstheme="minorHAnsi"/>
        </w:rPr>
        <w:t xml:space="preserve"> </w:t>
      </w:r>
      <w:r w:rsidR="007D4925" w:rsidRPr="00666C4F">
        <w:rPr>
          <w:rFonts w:cstheme="minorHAnsi"/>
        </w:rPr>
        <w:t>Professor requires a sustained record of excellence in research and scholarly activity that is recognized as a significant contribution to one or more areas of inquiry. If a candidate bases the case for promotion largely on scholarship, the research record must reflect a record of excellent productivity and quality.</w:t>
      </w:r>
    </w:p>
    <w:p w14:paraId="23DE523C" w14:textId="77777777" w:rsidR="003C3EC8" w:rsidRPr="00666C4F" w:rsidRDefault="003C3EC8">
      <w:pPr>
        <w:spacing w:before="11"/>
        <w:rPr>
          <w:rFonts w:eastAsia="Times New Roman" w:cstheme="minorHAnsi"/>
        </w:rPr>
      </w:pPr>
    </w:p>
    <w:p w14:paraId="04753182" w14:textId="46E26EF4" w:rsidR="003C3EC8" w:rsidRPr="00666C4F" w:rsidRDefault="2011D874" w:rsidP="00524430">
      <w:pPr>
        <w:pStyle w:val="BodyText"/>
        <w:spacing w:line="244" w:lineRule="auto"/>
        <w:ind w:right="188"/>
        <w:jc w:val="both"/>
        <w:rPr>
          <w:rFonts w:asciiTheme="minorHAnsi" w:hAnsiTheme="minorHAnsi" w:cstheme="minorHAnsi"/>
          <w:sz w:val="22"/>
          <w:szCs w:val="22"/>
        </w:rPr>
      </w:pPr>
      <w:r w:rsidRPr="00666C4F">
        <w:rPr>
          <w:rFonts w:asciiTheme="minorHAnsi" w:hAnsiTheme="minorHAnsi" w:cstheme="minorHAnsi"/>
          <w:sz w:val="22"/>
          <w:szCs w:val="22"/>
        </w:rPr>
        <w:t xml:space="preserve">The usual research expectations for promotion to professor include a record of sustained work that is of high quality and has received good peer review. </w:t>
      </w:r>
      <w:r w:rsidR="00524430" w:rsidRPr="00666C4F">
        <w:rPr>
          <w:rFonts w:asciiTheme="minorHAnsi" w:hAnsiTheme="minorHAnsi" w:cstheme="minorHAnsi"/>
          <w:sz w:val="22"/>
          <w:szCs w:val="22"/>
        </w:rPr>
        <w:t>The</w:t>
      </w:r>
      <w:r w:rsidRPr="00666C4F">
        <w:rPr>
          <w:rFonts w:asciiTheme="minorHAnsi" w:hAnsiTheme="minorHAnsi" w:cstheme="minorHAnsi"/>
          <w:sz w:val="22"/>
          <w:szCs w:val="22"/>
        </w:rPr>
        <w:t xml:space="preserve"> individual needs to have a substantial publication record since having been promoted to </w:t>
      </w:r>
      <w:r w:rsidR="0025232D" w:rsidRPr="00666C4F">
        <w:rPr>
          <w:rFonts w:asciiTheme="minorHAnsi" w:hAnsiTheme="minorHAnsi" w:cstheme="minorHAnsi"/>
          <w:sz w:val="22"/>
          <w:szCs w:val="22"/>
        </w:rPr>
        <w:t>A</w:t>
      </w:r>
      <w:r w:rsidRPr="00666C4F">
        <w:rPr>
          <w:rFonts w:asciiTheme="minorHAnsi" w:hAnsiTheme="minorHAnsi" w:cstheme="minorHAnsi"/>
          <w:sz w:val="22"/>
          <w:szCs w:val="22"/>
        </w:rPr>
        <w:t xml:space="preserve">ssociate </w:t>
      </w:r>
      <w:r w:rsidR="0025232D" w:rsidRPr="00666C4F">
        <w:rPr>
          <w:rFonts w:asciiTheme="minorHAnsi" w:hAnsiTheme="minorHAnsi" w:cstheme="minorHAnsi"/>
          <w:sz w:val="22"/>
          <w:szCs w:val="22"/>
        </w:rPr>
        <w:t>P</w:t>
      </w:r>
      <w:r w:rsidRPr="00666C4F">
        <w:rPr>
          <w:rFonts w:asciiTheme="minorHAnsi" w:hAnsiTheme="minorHAnsi" w:cstheme="minorHAnsi"/>
          <w:sz w:val="22"/>
          <w:szCs w:val="22"/>
        </w:rPr>
        <w:t xml:space="preserve">rofessor. We define a substantial record as one that exceeds, in quantity and impact, the record that the </w:t>
      </w:r>
      <w:r w:rsidR="0025232D" w:rsidRPr="00666C4F">
        <w:rPr>
          <w:rFonts w:asciiTheme="minorHAnsi" w:hAnsiTheme="minorHAnsi" w:cstheme="minorHAnsi"/>
          <w:sz w:val="22"/>
          <w:szCs w:val="22"/>
        </w:rPr>
        <w:t>D</w:t>
      </w:r>
      <w:r w:rsidRPr="00666C4F">
        <w:rPr>
          <w:rFonts w:asciiTheme="minorHAnsi" w:hAnsiTheme="minorHAnsi" w:cstheme="minorHAnsi"/>
          <w:sz w:val="22"/>
          <w:szCs w:val="22"/>
        </w:rPr>
        <w:t xml:space="preserve">epartment expects one to compile for promotion to </w:t>
      </w:r>
      <w:r w:rsidR="0025232D" w:rsidRPr="00666C4F">
        <w:rPr>
          <w:rFonts w:asciiTheme="minorHAnsi" w:hAnsiTheme="minorHAnsi" w:cstheme="minorHAnsi"/>
          <w:sz w:val="22"/>
          <w:szCs w:val="22"/>
        </w:rPr>
        <w:t>A</w:t>
      </w:r>
      <w:r w:rsidRPr="00666C4F">
        <w:rPr>
          <w:rFonts w:asciiTheme="minorHAnsi" w:hAnsiTheme="minorHAnsi" w:cstheme="minorHAnsi"/>
          <w:sz w:val="22"/>
          <w:szCs w:val="22"/>
        </w:rPr>
        <w:t>ssociate</w:t>
      </w:r>
      <w:r w:rsidR="0025232D" w:rsidRPr="00666C4F">
        <w:rPr>
          <w:rFonts w:asciiTheme="minorHAnsi" w:hAnsiTheme="minorHAnsi" w:cstheme="minorHAnsi"/>
          <w:sz w:val="22"/>
          <w:szCs w:val="22"/>
        </w:rPr>
        <w:t xml:space="preserve"> P</w:t>
      </w:r>
      <w:r w:rsidRPr="00666C4F">
        <w:rPr>
          <w:rFonts w:asciiTheme="minorHAnsi" w:hAnsiTheme="minorHAnsi" w:cstheme="minorHAnsi"/>
          <w:sz w:val="22"/>
          <w:szCs w:val="22"/>
        </w:rPr>
        <w:t xml:space="preserve">rofessor. In evaluating the research record, both quantity and quality are important. A smaller number of high-quality articles may be considered superior to a larger number of lower quality articles. The publications should be recognized as good contributions to the field. Furthermore, the individual should have a sustained record of research that indicates that the individual will continue to actively conduct research and publish after promotion. </w:t>
      </w:r>
    </w:p>
    <w:p w14:paraId="3168206E" w14:textId="1D5CBB34" w:rsidR="0B35627C" w:rsidRPr="00666C4F" w:rsidRDefault="0B35627C" w:rsidP="0B35627C">
      <w:pPr>
        <w:pStyle w:val="BodyText"/>
        <w:spacing w:line="244" w:lineRule="auto"/>
        <w:ind w:right="188"/>
        <w:rPr>
          <w:rFonts w:asciiTheme="minorHAnsi" w:hAnsiTheme="minorHAnsi" w:cstheme="minorHAnsi"/>
          <w:sz w:val="22"/>
          <w:szCs w:val="22"/>
        </w:rPr>
      </w:pPr>
    </w:p>
    <w:p w14:paraId="49417A97" w14:textId="569A9B53" w:rsidR="0025232D" w:rsidRPr="00666C4F" w:rsidRDefault="00524430" w:rsidP="00524430">
      <w:pPr>
        <w:pStyle w:val="BodyText"/>
        <w:tabs>
          <w:tab w:val="left" w:pos="346"/>
        </w:tabs>
        <w:spacing w:line="276" w:lineRule="exact"/>
        <w:ind w:left="0" w:right="131"/>
        <w:jc w:val="both"/>
        <w:rPr>
          <w:rFonts w:asciiTheme="minorHAnsi" w:hAnsiTheme="minorHAnsi" w:cstheme="minorHAnsi"/>
          <w:sz w:val="22"/>
          <w:szCs w:val="22"/>
        </w:rPr>
      </w:pPr>
      <w:r w:rsidRPr="00666C4F">
        <w:rPr>
          <w:rFonts w:asciiTheme="minorHAnsi" w:hAnsiTheme="minorHAnsi" w:cstheme="minorHAnsi"/>
          <w:b/>
          <w:bCs/>
          <w:sz w:val="22"/>
          <w:szCs w:val="22"/>
        </w:rPr>
        <w:tab/>
      </w:r>
      <w:r w:rsidR="0025232D" w:rsidRPr="00666C4F">
        <w:rPr>
          <w:rFonts w:asciiTheme="minorHAnsi" w:hAnsiTheme="minorHAnsi" w:cstheme="minorHAnsi"/>
          <w:b/>
          <w:bCs/>
          <w:sz w:val="22"/>
          <w:szCs w:val="22"/>
        </w:rPr>
        <w:t xml:space="preserve">3. </w:t>
      </w:r>
      <w:r w:rsidR="007D4925" w:rsidRPr="00666C4F">
        <w:rPr>
          <w:rFonts w:asciiTheme="minorHAnsi" w:hAnsiTheme="minorHAnsi" w:cstheme="minorHAnsi"/>
          <w:b/>
          <w:bCs/>
          <w:sz w:val="22"/>
          <w:szCs w:val="22"/>
        </w:rPr>
        <w:t xml:space="preserve">Service. </w:t>
      </w:r>
      <w:r w:rsidR="007D4925" w:rsidRPr="00666C4F">
        <w:rPr>
          <w:rFonts w:asciiTheme="minorHAnsi" w:hAnsiTheme="minorHAnsi" w:cstheme="minorHAnsi"/>
          <w:sz w:val="22"/>
          <w:szCs w:val="22"/>
        </w:rPr>
        <w:t xml:space="preserve">A candidate for promotion to Professor must demonstrate broader and more significant service than a candidate for Associate Professor. </w:t>
      </w:r>
      <w:r w:rsidR="0025232D" w:rsidRPr="00666C4F">
        <w:rPr>
          <w:rFonts w:asciiTheme="minorHAnsi" w:hAnsiTheme="minorHAnsi" w:cstheme="minorHAnsi"/>
          <w:sz w:val="22"/>
          <w:szCs w:val="22"/>
        </w:rPr>
        <w:t xml:space="preserve">The scope and specific mix of service contributions will vary commensurate with the needs of the Department, College and University as well as the professional and community service opportunities available to the faculty member. </w:t>
      </w:r>
    </w:p>
    <w:p w14:paraId="5F67FE88" w14:textId="77777777" w:rsidR="00524430" w:rsidRPr="00666C4F" w:rsidRDefault="00524430" w:rsidP="00524430">
      <w:pPr>
        <w:pStyle w:val="Heading1"/>
        <w:tabs>
          <w:tab w:val="left" w:pos="393"/>
        </w:tabs>
        <w:ind w:firstLine="0"/>
        <w:rPr>
          <w:rFonts w:asciiTheme="minorHAnsi" w:eastAsiaTheme="minorHAnsi" w:hAnsiTheme="minorHAnsi" w:cstheme="minorHAnsi"/>
          <w:b w:val="0"/>
          <w:bCs w:val="0"/>
          <w:sz w:val="22"/>
          <w:szCs w:val="22"/>
        </w:rPr>
      </w:pPr>
    </w:p>
    <w:p w14:paraId="7CAF648E" w14:textId="3CF3A420" w:rsidR="003C3EC8" w:rsidRPr="00666C4F" w:rsidRDefault="00524430" w:rsidP="00524430">
      <w:pPr>
        <w:pStyle w:val="Heading1"/>
        <w:tabs>
          <w:tab w:val="left" w:pos="393"/>
        </w:tabs>
        <w:ind w:left="0" w:firstLine="0"/>
        <w:rPr>
          <w:rFonts w:asciiTheme="minorHAnsi" w:hAnsiTheme="minorHAnsi" w:cstheme="minorHAnsi"/>
          <w:b w:val="0"/>
          <w:bCs w:val="0"/>
          <w:sz w:val="22"/>
          <w:szCs w:val="22"/>
        </w:rPr>
      </w:pPr>
      <w:r w:rsidRPr="00666C4F">
        <w:rPr>
          <w:rFonts w:asciiTheme="minorHAnsi" w:hAnsiTheme="minorHAnsi" w:cstheme="minorHAnsi"/>
          <w:sz w:val="22"/>
          <w:szCs w:val="22"/>
        </w:rPr>
        <w:t xml:space="preserve">ARTICLE 4. </w:t>
      </w:r>
      <w:r w:rsidR="007D4925" w:rsidRPr="00666C4F">
        <w:rPr>
          <w:rFonts w:asciiTheme="minorHAnsi" w:hAnsiTheme="minorHAnsi" w:cstheme="minorHAnsi"/>
          <w:sz w:val="22"/>
          <w:szCs w:val="22"/>
        </w:rPr>
        <w:t>PROCEDURES FOR PROMOTION AND TENURE</w:t>
      </w:r>
    </w:p>
    <w:p w14:paraId="70DF9E56" w14:textId="77777777" w:rsidR="003C3EC8" w:rsidRPr="00666C4F" w:rsidRDefault="003C3EC8">
      <w:pPr>
        <w:spacing w:before="1"/>
        <w:rPr>
          <w:rFonts w:eastAsia="Times New Roman" w:cstheme="minorHAnsi"/>
          <w:b/>
          <w:bCs/>
        </w:rPr>
      </w:pPr>
    </w:p>
    <w:p w14:paraId="75E086CC" w14:textId="03ADCDC4" w:rsidR="003C3EC8" w:rsidRPr="00666C4F" w:rsidRDefault="007D4925" w:rsidP="00524430">
      <w:pPr>
        <w:pStyle w:val="BodyText"/>
        <w:ind w:left="0"/>
        <w:rPr>
          <w:rFonts w:asciiTheme="minorHAnsi" w:hAnsiTheme="minorHAnsi" w:cstheme="minorHAnsi"/>
          <w:sz w:val="22"/>
          <w:szCs w:val="22"/>
        </w:rPr>
      </w:pPr>
      <w:r w:rsidRPr="00666C4F">
        <w:rPr>
          <w:rFonts w:asciiTheme="minorHAnsi" w:hAnsiTheme="minorHAnsi" w:cstheme="minorHAnsi"/>
          <w:sz w:val="22"/>
          <w:szCs w:val="22"/>
        </w:rPr>
        <w:t xml:space="preserve">The promotion and tenure process </w:t>
      </w:r>
      <w:r w:rsidR="00524430" w:rsidRPr="00666C4F">
        <w:rPr>
          <w:rFonts w:asciiTheme="minorHAnsi" w:hAnsiTheme="minorHAnsi" w:cstheme="minorHAnsi"/>
          <w:sz w:val="22"/>
          <w:szCs w:val="22"/>
        </w:rPr>
        <w:t>are</w:t>
      </w:r>
      <w:r w:rsidRPr="00666C4F">
        <w:rPr>
          <w:rFonts w:asciiTheme="minorHAnsi" w:hAnsiTheme="minorHAnsi" w:cstheme="minorHAnsi"/>
          <w:sz w:val="22"/>
          <w:szCs w:val="22"/>
        </w:rPr>
        <w:t xml:space="preserve"> a multi-layered procedure that begins with the individual and ends with the Board of Trustees (BOT). The candidate prepares a portfolio according to the University timeline and guidelines (</w:t>
      </w:r>
      <w:hyperlink r:id="rId7">
        <w:r w:rsidRPr="00666C4F">
          <w:rPr>
            <w:rFonts w:asciiTheme="minorHAnsi" w:hAnsiTheme="minorHAnsi" w:cstheme="minorHAnsi"/>
            <w:sz w:val="22"/>
            <w:szCs w:val="22"/>
          </w:rPr>
          <w:t>http://www.fau.edu/provost/facultyinfo.php),</w:t>
        </w:r>
      </w:hyperlink>
      <w:r w:rsidRPr="00666C4F">
        <w:rPr>
          <w:rFonts w:asciiTheme="minorHAnsi" w:hAnsiTheme="minorHAnsi" w:cstheme="minorHAnsi"/>
          <w:sz w:val="22"/>
          <w:szCs w:val="22"/>
        </w:rPr>
        <w:t xml:space="preserve"> submits it to the </w:t>
      </w:r>
      <w:r w:rsidR="6F2294A6" w:rsidRPr="00666C4F">
        <w:rPr>
          <w:rFonts w:asciiTheme="minorHAnsi" w:hAnsiTheme="minorHAnsi" w:cstheme="minorHAnsi"/>
          <w:sz w:val="22"/>
          <w:szCs w:val="22"/>
        </w:rPr>
        <w:t>D</w:t>
      </w:r>
      <w:r w:rsidRPr="00666C4F">
        <w:rPr>
          <w:rFonts w:asciiTheme="minorHAnsi" w:hAnsiTheme="minorHAnsi" w:cstheme="minorHAnsi"/>
          <w:sz w:val="22"/>
          <w:szCs w:val="22"/>
        </w:rPr>
        <w:t xml:space="preserve">epartment for decision, after which </w:t>
      </w:r>
      <w:r w:rsidR="6F2294A6" w:rsidRPr="00666C4F">
        <w:rPr>
          <w:rFonts w:asciiTheme="minorHAnsi" w:hAnsiTheme="minorHAnsi" w:cstheme="minorHAnsi"/>
          <w:sz w:val="22"/>
          <w:szCs w:val="22"/>
        </w:rPr>
        <w:t>the portfolio continues</w:t>
      </w:r>
      <w:r w:rsidRPr="00666C4F">
        <w:rPr>
          <w:rFonts w:asciiTheme="minorHAnsi" w:hAnsiTheme="minorHAnsi" w:cstheme="minorHAnsi"/>
          <w:sz w:val="22"/>
          <w:szCs w:val="22"/>
        </w:rPr>
        <w:t xml:space="preserve"> through the following levels for further decision: </w:t>
      </w:r>
      <w:r w:rsidR="6F2294A6" w:rsidRPr="00666C4F">
        <w:rPr>
          <w:rFonts w:asciiTheme="minorHAnsi" w:hAnsiTheme="minorHAnsi" w:cstheme="minorHAnsi"/>
          <w:sz w:val="22"/>
          <w:szCs w:val="22"/>
        </w:rPr>
        <w:t>T</w:t>
      </w:r>
      <w:r w:rsidRPr="00666C4F">
        <w:rPr>
          <w:rFonts w:asciiTheme="minorHAnsi" w:hAnsiTheme="minorHAnsi" w:cstheme="minorHAnsi"/>
          <w:sz w:val="22"/>
          <w:szCs w:val="22"/>
        </w:rPr>
        <w:t xml:space="preserve">he College Promotion and Tenure Committee, the College Dean, the University Promotion and Tenure Committee, the Provost, the President and the BOT. The initial portfolio is submitted to the </w:t>
      </w:r>
      <w:r w:rsidR="6F2294A6" w:rsidRPr="00666C4F">
        <w:rPr>
          <w:rFonts w:asciiTheme="minorHAnsi" w:hAnsiTheme="minorHAnsi" w:cstheme="minorHAnsi"/>
          <w:sz w:val="22"/>
          <w:szCs w:val="22"/>
        </w:rPr>
        <w:t>D</w:t>
      </w:r>
      <w:r w:rsidRPr="00666C4F">
        <w:rPr>
          <w:rFonts w:asciiTheme="minorHAnsi" w:hAnsiTheme="minorHAnsi" w:cstheme="minorHAnsi"/>
          <w:sz w:val="22"/>
          <w:szCs w:val="22"/>
        </w:rPr>
        <w:t>epartment at the beginning of the academic year and the candidate will receive notification of the final decision late in the spring semester.</w:t>
      </w:r>
    </w:p>
    <w:p w14:paraId="44E871BC" w14:textId="77777777" w:rsidR="003C3EC8" w:rsidRPr="00666C4F" w:rsidRDefault="003C3EC8" w:rsidP="008F0DC1">
      <w:pPr>
        <w:rPr>
          <w:rFonts w:eastAsia="Times New Roman" w:cstheme="minorHAnsi"/>
        </w:rPr>
      </w:pPr>
    </w:p>
    <w:p w14:paraId="0C6C2ACC" w14:textId="639EC17B" w:rsidR="003C3EC8" w:rsidRPr="00666C4F" w:rsidRDefault="00524430" w:rsidP="008F0DC1">
      <w:pPr>
        <w:pStyle w:val="Heading1"/>
        <w:ind w:left="0" w:firstLine="0"/>
        <w:rPr>
          <w:rFonts w:asciiTheme="minorHAnsi" w:hAnsiTheme="minorHAnsi" w:cstheme="minorHAnsi"/>
          <w:b w:val="0"/>
          <w:bCs w:val="0"/>
          <w:sz w:val="22"/>
          <w:szCs w:val="22"/>
        </w:rPr>
      </w:pPr>
      <w:r w:rsidRPr="00666C4F">
        <w:rPr>
          <w:rFonts w:asciiTheme="minorHAnsi" w:hAnsiTheme="minorHAnsi" w:cstheme="minorHAnsi"/>
          <w:sz w:val="22"/>
          <w:szCs w:val="22"/>
        </w:rPr>
        <w:t xml:space="preserve">A. </w:t>
      </w:r>
      <w:r w:rsidR="007D4925" w:rsidRPr="00666C4F">
        <w:rPr>
          <w:rFonts w:asciiTheme="minorHAnsi" w:hAnsiTheme="minorHAnsi" w:cstheme="minorHAnsi"/>
          <w:sz w:val="22"/>
          <w:szCs w:val="22"/>
        </w:rPr>
        <w:t>For Cases of Tenure and Promotion to Associate Professor:</w:t>
      </w:r>
    </w:p>
    <w:p w14:paraId="369497EB" w14:textId="7633D09D" w:rsidR="003C3EC8" w:rsidRPr="00666C4F" w:rsidRDefault="00524430" w:rsidP="008F0DC1">
      <w:pPr>
        <w:pStyle w:val="BodyText"/>
        <w:tabs>
          <w:tab w:val="left" w:pos="340"/>
        </w:tabs>
        <w:ind w:left="0"/>
        <w:jc w:val="both"/>
        <w:rPr>
          <w:rFonts w:asciiTheme="minorHAnsi" w:hAnsiTheme="minorHAnsi" w:cstheme="minorHAnsi"/>
          <w:sz w:val="22"/>
          <w:szCs w:val="22"/>
        </w:rPr>
      </w:pPr>
      <w:r w:rsidRPr="00666C4F">
        <w:rPr>
          <w:rFonts w:asciiTheme="minorHAnsi" w:hAnsiTheme="minorHAnsi" w:cstheme="minorHAnsi"/>
          <w:sz w:val="22"/>
          <w:szCs w:val="22"/>
        </w:rPr>
        <w:tab/>
        <w:t xml:space="preserve">1. </w:t>
      </w:r>
      <w:r w:rsidR="007D4925" w:rsidRPr="00666C4F">
        <w:rPr>
          <w:rFonts w:asciiTheme="minorHAnsi" w:hAnsiTheme="minorHAnsi" w:cstheme="minorHAnsi"/>
          <w:sz w:val="22"/>
          <w:szCs w:val="22"/>
        </w:rPr>
        <w:t xml:space="preserve">During the spring semester prior to submitting the application for promotion and tenure, the candidate should consult with the </w:t>
      </w:r>
      <w:r w:rsidR="6F2294A6" w:rsidRPr="00666C4F">
        <w:rPr>
          <w:rFonts w:asciiTheme="minorHAnsi" w:hAnsiTheme="minorHAnsi" w:cstheme="minorHAnsi"/>
          <w:sz w:val="22"/>
          <w:szCs w:val="22"/>
        </w:rPr>
        <w:t>D</w:t>
      </w:r>
      <w:r w:rsidR="007D4925" w:rsidRPr="00666C4F">
        <w:rPr>
          <w:rFonts w:asciiTheme="minorHAnsi" w:hAnsiTheme="minorHAnsi" w:cstheme="minorHAnsi"/>
          <w:sz w:val="22"/>
          <w:szCs w:val="22"/>
        </w:rPr>
        <w:t xml:space="preserve">epartment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 xml:space="preserve">hair regarding potential outside reviewers. The candidate can suggest as external </w:t>
      </w:r>
      <w:proofErr w:type="gramStart"/>
      <w:r w:rsidR="007D4925" w:rsidRPr="00666C4F">
        <w:rPr>
          <w:rFonts w:asciiTheme="minorHAnsi" w:hAnsiTheme="minorHAnsi" w:cstheme="minorHAnsi"/>
          <w:sz w:val="22"/>
          <w:szCs w:val="22"/>
        </w:rPr>
        <w:t>reviewers</w:t>
      </w:r>
      <w:proofErr w:type="gramEnd"/>
      <w:r w:rsidR="007D4925" w:rsidRPr="00666C4F">
        <w:rPr>
          <w:rFonts w:asciiTheme="minorHAnsi" w:hAnsiTheme="minorHAnsi" w:cstheme="minorHAnsi"/>
          <w:sz w:val="22"/>
          <w:szCs w:val="22"/>
        </w:rPr>
        <w:t xml:space="preserve"> individuals of sufficient stature from within the profession of political </w:t>
      </w:r>
      <w:r w:rsidR="007D4925" w:rsidRPr="00666C4F">
        <w:rPr>
          <w:rFonts w:asciiTheme="minorHAnsi" w:hAnsiTheme="minorHAnsi" w:cstheme="minorHAnsi"/>
          <w:sz w:val="22"/>
          <w:szCs w:val="22"/>
        </w:rPr>
        <w:lastRenderedPageBreak/>
        <w:t xml:space="preserve">science (or related discipline) to the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hair</w:t>
      </w:r>
      <w:r w:rsidR="6F2294A6" w:rsidRPr="00666C4F">
        <w:rPr>
          <w:rFonts w:asciiTheme="minorHAnsi" w:hAnsiTheme="minorHAnsi" w:cstheme="minorHAnsi"/>
          <w:sz w:val="22"/>
          <w:szCs w:val="22"/>
        </w:rPr>
        <w:t xml:space="preserve"> who</w:t>
      </w:r>
      <w:r w:rsidR="007D4925" w:rsidRPr="00666C4F">
        <w:rPr>
          <w:rFonts w:asciiTheme="minorHAnsi" w:hAnsiTheme="minorHAnsi" w:cstheme="minorHAnsi"/>
          <w:sz w:val="22"/>
          <w:szCs w:val="22"/>
        </w:rPr>
        <w:t xml:space="preserve"> develops an external reviewer list of at least </w:t>
      </w:r>
      <w:r w:rsidR="005E5F26" w:rsidRPr="00666C4F">
        <w:rPr>
          <w:rFonts w:asciiTheme="minorHAnsi" w:hAnsiTheme="minorHAnsi" w:cstheme="minorHAnsi"/>
          <w:sz w:val="22"/>
          <w:szCs w:val="22"/>
        </w:rPr>
        <w:t>three</w:t>
      </w:r>
      <w:r w:rsidR="007D4925" w:rsidRPr="00666C4F">
        <w:rPr>
          <w:rFonts w:asciiTheme="minorHAnsi" w:hAnsiTheme="minorHAnsi" w:cstheme="minorHAnsi"/>
          <w:sz w:val="22"/>
          <w:szCs w:val="22"/>
        </w:rPr>
        <w:t xml:space="preserve"> acceptable persons, taking into account the candidate’s suggestions, in a manner consistent with the University Provost’s guidelines and shares that information with the </w:t>
      </w:r>
      <w:r w:rsidR="6F2294A6" w:rsidRPr="00666C4F">
        <w:rPr>
          <w:rFonts w:asciiTheme="minorHAnsi" w:hAnsiTheme="minorHAnsi" w:cstheme="minorHAnsi"/>
          <w:sz w:val="22"/>
          <w:szCs w:val="22"/>
        </w:rPr>
        <w:t>D</w:t>
      </w:r>
      <w:r w:rsidR="007D4925" w:rsidRPr="00666C4F">
        <w:rPr>
          <w:rFonts w:asciiTheme="minorHAnsi" w:hAnsiTheme="minorHAnsi" w:cstheme="minorHAnsi"/>
          <w:sz w:val="22"/>
          <w:szCs w:val="22"/>
        </w:rPr>
        <w:t xml:space="preserve">epartment’s tenured faculty members. Reviewers may not be graduate advisors, coauthors or personal friends of the candidate. Their primary qualification should be their expertise and professional stature within the discipline. At least </w:t>
      </w:r>
      <w:r w:rsidR="005E5F26" w:rsidRPr="00666C4F">
        <w:rPr>
          <w:rFonts w:asciiTheme="minorHAnsi" w:hAnsiTheme="minorHAnsi" w:cstheme="minorHAnsi"/>
          <w:sz w:val="22"/>
          <w:szCs w:val="22"/>
        </w:rPr>
        <w:t>three</w:t>
      </w:r>
      <w:r w:rsidR="007D4925" w:rsidRPr="00666C4F">
        <w:rPr>
          <w:rFonts w:asciiTheme="minorHAnsi" w:hAnsiTheme="minorHAnsi" w:cstheme="minorHAnsi"/>
          <w:sz w:val="22"/>
          <w:szCs w:val="22"/>
        </w:rPr>
        <w:t xml:space="preserve"> reviewers will be contacted by the chair for agreement to review the candidate’s materials. All letters will be included in the portfolio. The reviewers assess the quality of the work but do not make the recommendation for tenure and promotion which is to be determined by departmental criteria.</w:t>
      </w:r>
    </w:p>
    <w:p w14:paraId="144A5D23" w14:textId="77777777" w:rsidR="003C3EC8" w:rsidRPr="00666C4F" w:rsidRDefault="003C3EC8" w:rsidP="008F0DC1">
      <w:pPr>
        <w:jc w:val="both"/>
        <w:rPr>
          <w:rFonts w:eastAsia="Times New Roman" w:cstheme="minorHAnsi"/>
        </w:rPr>
      </w:pPr>
    </w:p>
    <w:p w14:paraId="1D883F4C" w14:textId="26D55B6C" w:rsidR="003C3EC8" w:rsidRPr="00666C4F" w:rsidRDefault="00524430" w:rsidP="008F0DC1">
      <w:pPr>
        <w:pStyle w:val="BodyText"/>
        <w:tabs>
          <w:tab w:val="left" w:pos="340"/>
        </w:tabs>
        <w:ind w:right="179"/>
        <w:jc w:val="both"/>
        <w:rPr>
          <w:rFonts w:asciiTheme="minorHAnsi" w:hAnsiTheme="minorHAnsi" w:cstheme="minorHAnsi"/>
          <w:sz w:val="22"/>
          <w:szCs w:val="22"/>
        </w:rPr>
      </w:pPr>
      <w:r w:rsidRPr="00666C4F">
        <w:rPr>
          <w:rFonts w:asciiTheme="minorHAnsi" w:hAnsiTheme="minorHAnsi" w:cstheme="minorHAnsi"/>
          <w:sz w:val="22"/>
          <w:szCs w:val="22"/>
        </w:rPr>
        <w:tab/>
        <w:t xml:space="preserve">2. </w:t>
      </w:r>
      <w:r w:rsidR="007D4925" w:rsidRPr="00666C4F">
        <w:rPr>
          <w:rFonts w:asciiTheme="minorHAnsi" w:hAnsiTheme="minorHAnsi" w:cstheme="minorHAnsi"/>
          <w:sz w:val="22"/>
          <w:szCs w:val="22"/>
        </w:rPr>
        <w:t xml:space="preserve">Upon submission of the tenure and promotion portfolio, the </w:t>
      </w:r>
      <w:r w:rsidR="6F2294A6" w:rsidRPr="00666C4F">
        <w:rPr>
          <w:rFonts w:asciiTheme="minorHAnsi" w:hAnsiTheme="minorHAnsi" w:cstheme="minorHAnsi"/>
          <w:sz w:val="22"/>
          <w:szCs w:val="22"/>
        </w:rPr>
        <w:t>D</w:t>
      </w:r>
      <w:r w:rsidR="007D4925" w:rsidRPr="00666C4F">
        <w:rPr>
          <w:rFonts w:asciiTheme="minorHAnsi" w:hAnsiTheme="minorHAnsi" w:cstheme="minorHAnsi"/>
          <w:sz w:val="22"/>
          <w:szCs w:val="22"/>
        </w:rPr>
        <w:t>epartment’s tenured faculty meet to discuss and to decide on the application. The tenured faculty members discuss the candidate’s qualifications for tenure and promotion in light of departmental guidelines. A secret ballot is taken for tenure and promotion separately</w:t>
      </w:r>
      <w:r w:rsidR="6F2294A6" w:rsidRPr="00666C4F">
        <w:rPr>
          <w:rFonts w:asciiTheme="minorHAnsi" w:hAnsiTheme="minorHAnsi" w:cstheme="minorHAnsi"/>
          <w:sz w:val="22"/>
          <w:szCs w:val="22"/>
        </w:rPr>
        <w:t>,</w:t>
      </w:r>
      <w:r w:rsidR="007D4925" w:rsidRPr="00666C4F">
        <w:rPr>
          <w:rFonts w:asciiTheme="minorHAnsi" w:hAnsiTheme="minorHAnsi" w:cstheme="minorHAnsi"/>
          <w:sz w:val="22"/>
          <w:szCs w:val="22"/>
        </w:rPr>
        <w:t xml:space="preserve"> and the vote is recorded. One faculty member volunteers to write a summary of the discussion and to provide an official tally for the separate tenure and promotion votes to the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hair.</w:t>
      </w:r>
    </w:p>
    <w:p w14:paraId="637805D2" w14:textId="77777777" w:rsidR="003C3EC8" w:rsidRPr="00666C4F" w:rsidRDefault="003C3EC8" w:rsidP="008F0DC1">
      <w:pPr>
        <w:rPr>
          <w:rFonts w:eastAsia="Times New Roman" w:cstheme="minorHAnsi"/>
        </w:rPr>
      </w:pPr>
    </w:p>
    <w:p w14:paraId="107CD55E" w14:textId="5C826CFD" w:rsidR="003C3EC8" w:rsidRPr="00666C4F" w:rsidRDefault="00524430" w:rsidP="008F0DC1">
      <w:pPr>
        <w:pStyle w:val="BodyText"/>
        <w:tabs>
          <w:tab w:val="left" w:pos="360"/>
        </w:tabs>
        <w:ind w:left="120" w:right="107"/>
        <w:jc w:val="both"/>
        <w:rPr>
          <w:rFonts w:asciiTheme="minorHAnsi" w:hAnsiTheme="minorHAnsi" w:cstheme="minorHAnsi"/>
          <w:sz w:val="22"/>
          <w:szCs w:val="22"/>
        </w:rPr>
      </w:pPr>
      <w:r w:rsidRPr="00666C4F">
        <w:rPr>
          <w:rFonts w:asciiTheme="minorHAnsi" w:hAnsiTheme="minorHAnsi" w:cstheme="minorHAnsi"/>
          <w:sz w:val="22"/>
          <w:szCs w:val="22"/>
        </w:rPr>
        <w:tab/>
        <w:t xml:space="preserve">3. </w:t>
      </w:r>
      <w:r w:rsidR="007D4925" w:rsidRPr="00666C4F">
        <w:rPr>
          <w:rFonts w:asciiTheme="minorHAnsi" w:hAnsiTheme="minorHAnsi" w:cstheme="minorHAnsi"/>
          <w:sz w:val="22"/>
          <w:szCs w:val="22"/>
        </w:rPr>
        <w:t xml:space="preserve">The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 xml:space="preserve">hair receives the portfolio and the </w:t>
      </w:r>
      <w:r w:rsidR="6F2294A6" w:rsidRPr="00666C4F">
        <w:rPr>
          <w:rFonts w:asciiTheme="minorHAnsi" w:hAnsiTheme="minorHAnsi" w:cstheme="minorHAnsi"/>
          <w:sz w:val="22"/>
          <w:szCs w:val="22"/>
        </w:rPr>
        <w:t>D</w:t>
      </w:r>
      <w:r w:rsidR="007D4925" w:rsidRPr="00666C4F">
        <w:rPr>
          <w:rFonts w:asciiTheme="minorHAnsi" w:hAnsiTheme="minorHAnsi" w:cstheme="minorHAnsi"/>
          <w:sz w:val="22"/>
          <w:szCs w:val="22"/>
        </w:rPr>
        <w:t xml:space="preserve">epartment committee’s letter and writes an independent review of the candidate’s application, </w:t>
      </w:r>
      <w:proofErr w:type="gramStart"/>
      <w:r w:rsidR="007D4925" w:rsidRPr="00666C4F">
        <w:rPr>
          <w:rFonts w:asciiTheme="minorHAnsi" w:hAnsiTheme="minorHAnsi" w:cstheme="minorHAnsi"/>
          <w:sz w:val="22"/>
          <w:szCs w:val="22"/>
        </w:rPr>
        <w:t>taking into account</w:t>
      </w:r>
      <w:proofErr w:type="gramEnd"/>
      <w:r w:rsidR="007D4925" w:rsidRPr="00666C4F">
        <w:rPr>
          <w:rFonts w:asciiTheme="minorHAnsi" w:hAnsiTheme="minorHAnsi" w:cstheme="minorHAnsi"/>
          <w:sz w:val="22"/>
          <w:szCs w:val="22"/>
        </w:rPr>
        <w:t xml:space="preserve"> the portfolio, </w:t>
      </w:r>
      <w:r w:rsidR="6F2294A6" w:rsidRPr="00666C4F">
        <w:rPr>
          <w:rFonts w:asciiTheme="minorHAnsi" w:hAnsiTheme="minorHAnsi" w:cstheme="minorHAnsi"/>
          <w:sz w:val="22"/>
          <w:szCs w:val="22"/>
        </w:rPr>
        <w:t>D</w:t>
      </w:r>
      <w:r w:rsidR="007D4925" w:rsidRPr="00666C4F">
        <w:rPr>
          <w:rFonts w:asciiTheme="minorHAnsi" w:hAnsiTheme="minorHAnsi" w:cstheme="minorHAnsi"/>
          <w:sz w:val="22"/>
          <w:szCs w:val="22"/>
        </w:rPr>
        <w:t xml:space="preserve">epartment faculty commentary, the faculty vote, external and internal letters and departmental guidelines. The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 xml:space="preserve">hair’s letter is placed in the candidate’s portfolio and provided to the candidate. The candidate may insert a written response to the chair’s letter as outlined in </w:t>
      </w:r>
      <w:r w:rsidR="6F2294A6" w:rsidRPr="00666C4F">
        <w:rPr>
          <w:rFonts w:asciiTheme="minorHAnsi" w:hAnsiTheme="minorHAnsi" w:cstheme="minorHAnsi"/>
          <w:sz w:val="22"/>
          <w:szCs w:val="22"/>
        </w:rPr>
        <w:t>U</w:t>
      </w:r>
      <w:r w:rsidR="007D4925" w:rsidRPr="00666C4F">
        <w:rPr>
          <w:rFonts w:asciiTheme="minorHAnsi" w:hAnsiTheme="minorHAnsi" w:cstheme="minorHAnsi"/>
          <w:sz w:val="22"/>
          <w:szCs w:val="22"/>
        </w:rPr>
        <w:t>niversity regulations. The portfolio is then provided to the College’s Promotion and Tenure Committee.</w:t>
      </w:r>
    </w:p>
    <w:p w14:paraId="463F29E8" w14:textId="77777777" w:rsidR="003C3EC8" w:rsidRPr="00666C4F" w:rsidRDefault="003C3EC8" w:rsidP="008F0DC1">
      <w:pPr>
        <w:rPr>
          <w:rFonts w:eastAsia="Times New Roman" w:cstheme="minorHAnsi"/>
        </w:rPr>
      </w:pPr>
    </w:p>
    <w:p w14:paraId="7AEA5503" w14:textId="596FD719" w:rsidR="003C3EC8" w:rsidRPr="00666C4F" w:rsidRDefault="00524430" w:rsidP="008F0DC1">
      <w:pPr>
        <w:pStyle w:val="Heading1"/>
        <w:ind w:left="120" w:firstLine="0"/>
        <w:rPr>
          <w:rFonts w:asciiTheme="minorHAnsi" w:hAnsiTheme="minorHAnsi" w:cstheme="minorHAnsi"/>
          <w:b w:val="0"/>
          <w:bCs w:val="0"/>
          <w:sz w:val="22"/>
          <w:szCs w:val="22"/>
        </w:rPr>
      </w:pPr>
      <w:r w:rsidRPr="00666C4F">
        <w:rPr>
          <w:rFonts w:asciiTheme="minorHAnsi" w:hAnsiTheme="minorHAnsi" w:cstheme="minorHAnsi"/>
          <w:sz w:val="22"/>
          <w:szCs w:val="22"/>
        </w:rPr>
        <w:t xml:space="preserve">B. </w:t>
      </w:r>
      <w:r w:rsidR="007D4925" w:rsidRPr="00666C4F">
        <w:rPr>
          <w:rFonts w:asciiTheme="minorHAnsi" w:hAnsiTheme="minorHAnsi" w:cstheme="minorHAnsi"/>
          <w:sz w:val="22"/>
          <w:szCs w:val="22"/>
        </w:rPr>
        <w:t>For Cases of Promotion to Professor:</w:t>
      </w:r>
    </w:p>
    <w:p w14:paraId="16945856" w14:textId="611D97ED" w:rsidR="003C3EC8" w:rsidRPr="00666C4F" w:rsidRDefault="00524430" w:rsidP="008F0DC1">
      <w:pPr>
        <w:pStyle w:val="BodyText"/>
        <w:tabs>
          <w:tab w:val="left" w:pos="360"/>
        </w:tabs>
        <w:ind w:left="120" w:right="107"/>
        <w:jc w:val="both"/>
        <w:rPr>
          <w:rFonts w:asciiTheme="minorHAnsi" w:hAnsiTheme="minorHAnsi" w:cstheme="minorHAnsi"/>
          <w:sz w:val="22"/>
          <w:szCs w:val="22"/>
        </w:rPr>
      </w:pPr>
      <w:r w:rsidRPr="00666C4F">
        <w:rPr>
          <w:rFonts w:asciiTheme="minorHAnsi" w:hAnsiTheme="minorHAnsi" w:cstheme="minorHAnsi"/>
          <w:sz w:val="22"/>
          <w:szCs w:val="22"/>
        </w:rPr>
        <w:tab/>
        <w:t xml:space="preserve">1. </w:t>
      </w:r>
      <w:r w:rsidR="007D4925" w:rsidRPr="00666C4F">
        <w:rPr>
          <w:rFonts w:asciiTheme="minorHAnsi" w:hAnsiTheme="minorHAnsi" w:cstheme="minorHAnsi"/>
          <w:sz w:val="22"/>
          <w:szCs w:val="22"/>
        </w:rPr>
        <w:t xml:space="preserve">During the spring semester prior to submitting the application for promotion to Professor, the candidate should consult with the </w:t>
      </w:r>
      <w:r w:rsidR="6F2294A6" w:rsidRPr="00666C4F">
        <w:rPr>
          <w:rFonts w:asciiTheme="minorHAnsi" w:hAnsiTheme="minorHAnsi" w:cstheme="minorHAnsi"/>
          <w:sz w:val="22"/>
          <w:szCs w:val="22"/>
        </w:rPr>
        <w:t>D</w:t>
      </w:r>
      <w:r w:rsidR="007D4925" w:rsidRPr="00666C4F">
        <w:rPr>
          <w:rFonts w:asciiTheme="minorHAnsi" w:hAnsiTheme="minorHAnsi" w:cstheme="minorHAnsi"/>
          <w:sz w:val="22"/>
          <w:szCs w:val="22"/>
        </w:rPr>
        <w:t xml:space="preserve">epartment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 xml:space="preserve">hair regarding potential outside reviewers. The candidate can suggest as external </w:t>
      </w:r>
      <w:proofErr w:type="gramStart"/>
      <w:r w:rsidR="007D4925" w:rsidRPr="00666C4F">
        <w:rPr>
          <w:rFonts w:asciiTheme="minorHAnsi" w:hAnsiTheme="minorHAnsi" w:cstheme="minorHAnsi"/>
          <w:sz w:val="22"/>
          <w:szCs w:val="22"/>
        </w:rPr>
        <w:t>reviewers</w:t>
      </w:r>
      <w:proofErr w:type="gramEnd"/>
      <w:r w:rsidR="007D4925" w:rsidRPr="00666C4F">
        <w:rPr>
          <w:rFonts w:asciiTheme="minorHAnsi" w:hAnsiTheme="minorHAnsi" w:cstheme="minorHAnsi"/>
          <w:sz w:val="22"/>
          <w:szCs w:val="22"/>
        </w:rPr>
        <w:t xml:space="preserve"> individuals of sufficient stature from within the profession of political science (or related discipline) to the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hair</w:t>
      </w:r>
      <w:r w:rsidR="6F2294A6" w:rsidRPr="00666C4F">
        <w:rPr>
          <w:rFonts w:asciiTheme="minorHAnsi" w:hAnsiTheme="minorHAnsi" w:cstheme="minorHAnsi"/>
          <w:sz w:val="22"/>
          <w:szCs w:val="22"/>
        </w:rPr>
        <w:t xml:space="preserve"> who</w:t>
      </w:r>
      <w:r w:rsidR="007D4925" w:rsidRPr="00666C4F">
        <w:rPr>
          <w:rFonts w:asciiTheme="minorHAnsi" w:hAnsiTheme="minorHAnsi" w:cstheme="minorHAnsi"/>
          <w:sz w:val="22"/>
          <w:szCs w:val="22"/>
        </w:rPr>
        <w:t xml:space="preserve"> develops an external reviewer list of at least five acceptable persons, taking into account the candidate’s suggestions, in a manner consistent with the University Provost’s guidelines and shares that information with the </w:t>
      </w:r>
      <w:r w:rsidR="6F2294A6" w:rsidRPr="00666C4F">
        <w:rPr>
          <w:rFonts w:asciiTheme="minorHAnsi" w:hAnsiTheme="minorHAnsi" w:cstheme="minorHAnsi"/>
          <w:sz w:val="22"/>
          <w:szCs w:val="22"/>
        </w:rPr>
        <w:t>D</w:t>
      </w:r>
      <w:r w:rsidR="007D4925" w:rsidRPr="00666C4F">
        <w:rPr>
          <w:rFonts w:asciiTheme="minorHAnsi" w:hAnsiTheme="minorHAnsi" w:cstheme="minorHAnsi"/>
          <w:sz w:val="22"/>
          <w:szCs w:val="22"/>
        </w:rPr>
        <w:t xml:space="preserve">epartment’s tenured faculty members of professor rank. External reviewers should hold the rank of professor or the equivalent. Reviewers may not be graduate advisors, coauthors or personal friends of the candidate. Their primary qualification should be their expertise and professional stature within the discipline. At least five reviewers will be contacted by the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hair for agreement to review the candidate’s materials. All letters will be included in the portfolio. The reviewers assess the quality of the work but do not make the recommendation promotion which is to be determined by departmental criteria.</w:t>
      </w:r>
    </w:p>
    <w:p w14:paraId="3B7B4B86" w14:textId="77777777" w:rsidR="003C3EC8" w:rsidRPr="00666C4F" w:rsidRDefault="003C3EC8" w:rsidP="008F0DC1">
      <w:pPr>
        <w:jc w:val="both"/>
        <w:rPr>
          <w:rFonts w:eastAsia="Times New Roman" w:cstheme="minorHAnsi"/>
        </w:rPr>
      </w:pPr>
    </w:p>
    <w:p w14:paraId="38D30895" w14:textId="3AF3D4E2" w:rsidR="003C3EC8" w:rsidRPr="00666C4F" w:rsidRDefault="00524430" w:rsidP="008F0DC1">
      <w:pPr>
        <w:pStyle w:val="BodyText"/>
        <w:tabs>
          <w:tab w:val="left" w:pos="360"/>
        </w:tabs>
        <w:ind w:left="120" w:right="127"/>
        <w:jc w:val="both"/>
        <w:rPr>
          <w:rFonts w:asciiTheme="minorHAnsi" w:hAnsiTheme="minorHAnsi" w:cstheme="minorHAnsi"/>
          <w:sz w:val="22"/>
          <w:szCs w:val="22"/>
        </w:rPr>
      </w:pPr>
      <w:r w:rsidRPr="00666C4F">
        <w:rPr>
          <w:rFonts w:asciiTheme="minorHAnsi" w:hAnsiTheme="minorHAnsi" w:cstheme="minorHAnsi"/>
          <w:sz w:val="22"/>
          <w:szCs w:val="22"/>
        </w:rPr>
        <w:tab/>
        <w:t xml:space="preserve">2. </w:t>
      </w:r>
      <w:r w:rsidR="007D4925" w:rsidRPr="00666C4F">
        <w:rPr>
          <w:rFonts w:asciiTheme="minorHAnsi" w:hAnsiTheme="minorHAnsi" w:cstheme="minorHAnsi"/>
          <w:sz w:val="22"/>
          <w:szCs w:val="22"/>
        </w:rPr>
        <w:t xml:space="preserve">Upon submission of the promotion portfolio, the </w:t>
      </w:r>
      <w:r w:rsidR="6F2294A6" w:rsidRPr="00666C4F">
        <w:rPr>
          <w:rFonts w:asciiTheme="minorHAnsi" w:hAnsiTheme="minorHAnsi" w:cstheme="minorHAnsi"/>
          <w:sz w:val="22"/>
          <w:szCs w:val="22"/>
        </w:rPr>
        <w:t>D</w:t>
      </w:r>
      <w:r w:rsidR="007D4925" w:rsidRPr="00666C4F">
        <w:rPr>
          <w:rFonts w:asciiTheme="minorHAnsi" w:hAnsiTheme="minorHAnsi" w:cstheme="minorHAnsi"/>
          <w:sz w:val="22"/>
          <w:szCs w:val="22"/>
        </w:rPr>
        <w:t xml:space="preserve">epartment’s professors meet to discuss and to decide on the application. Three professors constitute a quorum. Should the </w:t>
      </w:r>
      <w:r w:rsidR="6F2294A6" w:rsidRPr="00666C4F">
        <w:rPr>
          <w:rFonts w:asciiTheme="minorHAnsi" w:hAnsiTheme="minorHAnsi" w:cstheme="minorHAnsi"/>
          <w:sz w:val="22"/>
          <w:szCs w:val="22"/>
        </w:rPr>
        <w:t>D</w:t>
      </w:r>
      <w:r w:rsidR="007D4925" w:rsidRPr="00666C4F">
        <w:rPr>
          <w:rFonts w:asciiTheme="minorHAnsi" w:hAnsiTheme="minorHAnsi" w:cstheme="minorHAnsi"/>
          <w:sz w:val="22"/>
          <w:szCs w:val="22"/>
        </w:rPr>
        <w:t xml:space="preserve">epartment not have three such persons, outside members from related disciplines within the </w:t>
      </w:r>
      <w:r w:rsidR="6F2294A6" w:rsidRPr="00666C4F">
        <w:rPr>
          <w:rFonts w:asciiTheme="minorHAnsi" w:hAnsiTheme="minorHAnsi" w:cstheme="minorHAnsi"/>
          <w:sz w:val="22"/>
          <w:szCs w:val="22"/>
        </w:rPr>
        <w:t>U</w:t>
      </w:r>
      <w:r w:rsidR="007D4925" w:rsidRPr="00666C4F">
        <w:rPr>
          <w:rFonts w:asciiTheme="minorHAnsi" w:hAnsiTheme="minorHAnsi" w:cstheme="minorHAnsi"/>
          <w:sz w:val="22"/>
          <w:szCs w:val="22"/>
        </w:rPr>
        <w:t xml:space="preserve">niversity may be chosen by the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hair. The faculty members discuss the candidate’s qualifications for promotion in light of departmental guidelines. A secret ballot is taken for promotion</w:t>
      </w:r>
      <w:r w:rsidR="6F2294A6" w:rsidRPr="00666C4F">
        <w:rPr>
          <w:rFonts w:asciiTheme="minorHAnsi" w:hAnsiTheme="minorHAnsi" w:cstheme="minorHAnsi"/>
          <w:sz w:val="22"/>
          <w:szCs w:val="22"/>
        </w:rPr>
        <w:t>,</w:t>
      </w:r>
      <w:r w:rsidR="007D4925" w:rsidRPr="00666C4F">
        <w:rPr>
          <w:rFonts w:asciiTheme="minorHAnsi" w:hAnsiTheme="minorHAnsi" w:cstheme="minorHAnsi"/>
          <w:sz w:val="22"/>
          <w:szCs w:val="22"/>
        </w:rPr>
        <w:t xml:space="preserve"> and the vote is recorded. One faculty member volunteers to write a summary of the discussion and to provide an official tally of the promotion vote to the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hair.</w:t>
      </w:r>
    </w:p>
    <w:p w14:paraId="3A0FF5F2" w14:textId="77777777" w:rsidR="003C3EC8" w:rsidRPr="00666C4F" w:rsidRDefault="003C3EC8" w:rsidP="008F0DC1">
      <w:pPr>
        <w:jc w:val="both"/>
        <w:rPr>
          <w:rFonts w:eastAsia="Times New Roman" w:cstheme="minorHAnsi"/>
        </w:rPr>
      </w:pPr>
    </w:p>
    <w:p w14:paraId="43FCB6A9" w14:textId="5F039CB5" w:rsidR="003C3EC8" w:rsidRPr="00666C4F" w:rsidRDefault="00524430" w:rsidP="008F0DC1">
      <w:pPr>
        <w:pStyle w:val="BodyText"/>
        <w:tabs>
          <w:tab w:val="left" w:pos="360"/>
        </w:tabs>
        <w:ind w:left="120" w:right="107"/>
        <w:jc w:val="both"/>
        <w:rPr>
          <w:rFonts w:asciiTheme="minorHAnsi" w:hAnsiTheme="minorHAnsi" w:cstheme="minorHAnsi"/>
          <w:sz w:val="22"/>
          <w:szCs w:val="22"/>
        </w:rPr>
      </w:pPr>
      <w:r w:rsidRPr="00666C4F">
        <w:rPr>
          <w:rFonts w:asciiTheme="minorHAnsi" w:hAnsiTheme="minorHAnsi" w:cstheme="minorHAnsi"/>
          <w:sz w:val="22"/>
          <w:szCs w:val="22"/>
        </w:rPr>
        <w:tab/>
        <w:t xml:space="preserve">3. </w:t>
      </w:r>
      <w:r w:rsidR="007D4925" w:rsidRPr="00666C4F">
        <w:rPr>
          <w:rFonts w:asciiTheme="minorHAnsi" w:hAnsiTheme="minorHAnsi" w:cstheme="minorHAnsi"/>
          <w:sz w:val="22"/>
          <w:szCs w:val="22"/>
        </w:rPr>
        <w:t xml:space="preserve">The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 xml:space="preserve">hair receives the portfolio and the </w:t>
      </w:r>
      <w:r w:rsidR="6F2294A6" w:rsidRPr="00666C4F">
        <w:rPr>
          <w:rFonts w:asciiTheme="minorHAnsi" w:hAnsiTheme="minorHAnsi" w:cstheme="minorHAnsi"/>
          <w:sz w:val="22"/>
          <w:szCs w:val="22"/>
        </w:rPr>
        <w:t>D</w:t>
      </w:r>
      <w:r w:rsidR="007D4925" w:rsidRPr="00666C4F">
        <w:rPr>
          <w:rFonts w:asciiTheme="minorHAnsi" w:hAnsiTheme="minorHAnsi" w:cstheme="minorHAnsi"/>
          <w:sz w:val="22"/>
          <w:szCs w:val="22"/>
        </w:rPr>
        <w:t xml:space="preserve">epartment committee’s letter and writes an independent review of the candidate’s application, </w:t>
      </w:r>
      <w:proofErr w:type="gramStart"/>
      <w:r w:rsidR="007D4925" w:rsidRPr="00666C4F">
        <w:rPr>
          <w:rFonts w:asciiTheme="minorHAnsi" w:hAnsiTheme="minorHAnsi" w:cstheme="minorHAnsi"/>
          <w:sz w:val="22"/>
          <w:szCs w:val="22"/>
        </w:rPr>
        <w:t>taking into account</w:t>
      </w:r>
      <w:proofErr w:type="gramEnd"/>
      <w:r w:rsidR="007D4925" w:rsidRPr="00666C4F">
        <w:rPr>
          <w:rFonts w:asciiTheme="minorHAnsi" w:hAnsiTheme="minorHAnsi" w:cstheme="minorHAnsi"/>
          <w:sz w:val="22"/>
          <w:szCs w:val="22"/>
        </w:rPr>
        <w:t xml:space="preserve"> the portfolio, </w:t>
      </w:r>
      <w:r w:rsidR="6F2294A6" w:rsidRPr="00666C4F">
        <w:rPr>
          <w:rFonts w:asciiTheme="minorHAnsi" w:hAnsiTheme="minorHAnsi" w:cstheme="minorHAnsi"/>
          <w:sz w:val="22"/>
          <w:szCs w:val="22"/>
        </w:rPr>
        <w:t>D</w:t>
      </w:r>
      <w:r w:rsidR="007D4925" w:rsidRPr="00666C4F">
        <w:rPr>
          <w:rFonts w:asciiTheme="minorHAnsi" w:hAnsiTheme="minorHAnsi" w:cstheme="minorHAnsi"/>
          <w:sz w:val="22"/>
          <w:szCs w:val="22"/>
        </w:rPr>
        <w:t xml:space="preserve">epartment faculty commentary, the faculty vote, external and internal letters and departmental guidelines. The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 xml:space="preserve">hair’s </w:t>
      </w:r>
      <w:r w:rsidR="007D4925" w:rsidRPr="00666C4F">
        <w:rPr>
          <w:rFonts w:asciiTheme="minorHAnsi" w:hAnsiTheme="minorHAnsi" w:cstheme="minorHAnsi"/>
          <w:sz w:val="22"/>
          <w:szCs w:val="22"/>
        </w:rPr>
        <w:lastRenderedPageBreak/>
        <w:t xml:space="preserve">letter is placed in the candidate’s portfolio and provided to the candidate. The candidate may insert a written response to the </w:t>
      </w:r>
      <w:r w:rsidR="6F2294A6" w:rsidRPr="00666C4F">
        <w:rPr>
          <w:rFonts w:asciiTheme="minorHAnsi" w:hAnsiTheme="minorHAnsi" w:cstheme="minorHAnsi"/>
          <w:sz w:val="22"/>
          <w:szCs w:val="22"/>
        </w:rPr>
        <w:t>C</w:t>
      </w:r>
      <w:r w:rsidR="007D4925" w:rsidRPr="00666C4F">
        <w:rPr>
          <w:rFonts w:asciiTheme="minorHAnsi" w:hAnsiTheme="minorHAnsi" w:cstheme="minorHAnsi"/>
          <w:sz w:val="22"/>
          <w:szCs w:val="22"/>
        </w:rPr>
        <w:t>hair’s letter as outlined in university regulations. The portfolio is then provided to the College’s Promotion and Tenure Committee.</w:t>
      </w:r>
    </w:p>
    <w:sectPr w:rsidR="003C3EC8" w:rsidRPr="00666C4F" w:rsidSect="00037AB0">
      <w:headerReference w:type="even" r:id="rId8"/>
      <w:headerReference w:type="default" r:id="rId9"/>
      <w:footerReference w:type="even" r:id="rId10"/>
      <w:footerReference w:type="default" r:id="rId11"/>
      <w:headerReference w:type="first" r:id="rId12"/>
      <w:footerReference w:type="first" r:id="rId13"/>
      <w:pgSz w:w="12240" w:h="15840"/>
      <w:pgMar w:top="1500" w:right="1480" w:bottom="280" w:left="13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BF822" w14:textId="77777777" w:rsidR="004927C6" w:rsidRDefault="004927C6" w:rsidP="00211C65">
      <w:r>
        <w:separator/>
      </w:r>
    </w:p>
  </w:endnote>
  <w:endnote w:type="continuationSeparator" w:id="0">
    <w:p w14:paraId="760528CF" w14:textId="77777777" w:rsidR="004927C6" w:rsidRDefault="004927C6" w:rsidP="0021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1EFD" w14:textId="77777777" w:rsidR="00037AB0" w:rsidRDefault="00037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bookmarkEnd w:id="0" w:displacedByCustomXml="next"/>
  <w:sdt>
    <w:sdtPr>
      <w:id w:val="757717929"/>
      <w:docPartObj>
        <w:docPartGallery w:val="Page Numbers (Bottom of Page)"/>
        <w:docPartUnique/>
      </w:docPartObj>
    </w:sdtPr>
    <w:sdtEndPr>
      <w:rPr>
        <w:noProof/>
      </w:rPr>
    </w:sdtEndPr>
    <w:sdtContent>
      <w:p w14:paraId="4301DA27" w14:textId="5500B10C" w:rsidR="00037AB0" w:rsidRDefault="00037A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B42987" w14:textId="77777777" w:rsidR="00211C65" w:rsidRPr="00037AB0" w:rsidRDefault="00211C65" w:rsidP="00037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9B5C" w14:textId="77777777" w:rsidR="00037AB0" w:rsidRDefault="00037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57AED" w14:textId="77777777" w:rsidR="004927C6" w:rsidRDefault="004927C6" w:rsidP="00211C65">
      <w:r>
        <w:separator/>
      </w:r>
    </w:p>
  </w:footnote>
  <w:footnote w:type="continuationSeparator" w:id="0">
    <w:p w14:paraId="12E1BB1A" w14:textId="77777777" w:rsidR="004927C6" w:rsidRDefault="004927C6" w:rsidP="00211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E255" w14:textId="77777777" w:rsidR="00037AB0" w:rsidRDefault="00037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874A6" w14:textId="77777777" w:rsidR="00037AB0" w:rsidRDefault="00037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6C98" w14:textId="77777777" w:rsidR="00037AB0" w:rsidRDefault="00037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5E2B"/>
    <w:multiLevelType w:val="hybridMultilevel"/>
    <w:tmpl w:val="CBE250D2"/>
    <w:lvl w:ilvl="0" w:tplc="1C401D9E">
      <w:start w:val="1"/>
      <w:numFmt w:val="decimal"/>
      <w:lvlText w:val="%1."/>
      <w:lvlJc w:val="left"/>
      <w:pPr>
        <w:ind w:left="720" w:hanging="360"/>
      </w:pPr>
    </w:lvl>
    <w:lvl w:ilvl="1" w:tplc="97C8821E">
      <w:start w:val="1"/>
      <w:numFmt w:val="decimal"/>
      <w:lvlText w:val="%2."/>
      <w:lvlJc w:val="left"/>
      <w:pPr>
        <w:ind w:left="1440" w:hanging="360"/>
      </w:pPr>
    </w:lvl>
    <w:lvl w:ilvl="2" w:tplc="169A8482">
      <w:start w:val="1"/>
      <w:numFmt w:val="lowerRoman"/>
      <w:lvlText w:val="%3."/>
      <w:lvlJc w:val="right"/>
      <w:pPr>
        <w:ind w:left="2160" w:hanging="180"/>
      </w:pPr>
    </w:lvl>
    <w:lvl w:ilvl="3" w:tplc="D0169272">
      <w:start w:val="1"/>
      <w:numFmt w:val="decimal"/>
      <w:lvlText w:val="%4."/>
      <w:lvlJc w:val="left"/>
      <w:pPr>
        <w:ind w:left="2880" w:hanging="360"/>
      </w:pPr>
    </w:lvl>
    <w:lvl w:ilvl="4" w:tplc="C6E8301C">
      <w:start w:val="1"/>
      <w:numFmt w:val="lowerLetter"/>
      <w:lvlText w:val="%5."/>
      <w:lvlJc w:val="left"/>
      <w:pPr>
        <w:ind w:left="3600" w:hanging="360"/>
      </w:pPr>
    </w:lvl>
    <w:lvl w:ilvl="5" w:tplc="13FAD97A">
      <w:start w:val="1"/>
      <w:numFmt w:val="lowerRoman"/>
      <w:lvlText w:val="%6."/>
      <w:lvlJc w:val="right"/>
      <w:pPr>
        <w:ind w:left="4320" w:hanging="180"/>
      </w:pPr>
    </w:lvl>
    <w:lvl w:ilvl="6" w:tplc="CF766776">
      <w:start w:val="1"/>
      <w:numFmt w:val="decimal"/>
      <w:lvlText w:val="%7."/>
      <w:lvlJc w:val="left"/>
      <w:pPr>
        <w:ind w:left="5040" w:hanging="360"/>
      </w:pPr>
    </w:lvl>
    <w:lvl w:ilvl="7" w:tplc="7BD899C2">
      <w:start w:val="1"/>
      <w:numFmt w:val="lowerLetter"/>
      <w:lvlText w:val="%8."/>
      <w:lvlJc w:val="left"/>
      <w:pPr>
        <w:ind w:left="5760" w:hanging="360"/>
      </w:pPr>
    </w:lvl>
    <w:lvl w:ilvl="8" w:tplc="0C520C4C">
      <w:start w:val="1"/>
      <w:numFmt w:val="lowerRoman"/>
      <w:lvlText w:val="%9."/>
      <w:lvlJc w:val="right"/>
      <w:pPr>
        <w:ind w:left="6480" w:hanging="180"/>
      </w:pPr>
    </w:lvl>
  </w:abstractNum>
  <w:abstractNum w:abstractNumId="1" w15:restartNumberingAfterBreak="0">
    <w:nsid w:val="0D6506D0"/>
    <w:multiLevelType w:val="hybridMultilevel"/>
    <w:tmpl w:val="122ED0AC"/>
    <w:lvl w:ilvl="0" w:tplc="0FAC86B2">
      <w:start w:val="1"/>
      <w:numFmt w:val="decimal"/>
      <w:lvlText w:val="%1."/>
      <w:lvlJc w:val="left"/>
      <w:pPr>
        <w:ind w:left="720" w:hanging="360"/>
      </w:pPr>
    </w:lvl>
    <w:lvl w:ilvl="1" w:tplc="E67E0AC6">
      <w:numFmt w:val="decimal"/>
      <w:lvlText w:val="%2."/>
      <w:lvlJc w:val="left"/>
      <w:pPr>
        <w:ind w:left="1440" w:hanging="360"/>
      </w:pPr>
    </w:lvl>
    <w:lvl w:ilvl="2" w:tplc="96F0EB30">
      <w:start w:val="1"/>
      <w:numFmt w:val="lowerRoman"/>
      <w:lvlText w:val="%3."/>
      <w:lvlJc w:val="right"/>
      <w:pPr>
        <w:ind w:left="2160" w:hanging="180"/>
      </w:pPr>
    </w:lvl>
    <w:lvl w:ilvl="3" w:tplc="27B6FE60">
      <w:start w:val="1"/>
      <w:numFmt w:val="decimal"/>
      <w:lvlText w:val="%4."/>
      <w:lvlJc w:val="left"/>
      <w:pPr>
        <w:ind w:left="2880" w:hanging="360"/>
      </w:pPr>
    </w:lvl>
    <w:lvl w:ilvl="4" w:tplc="4FF4CF7A">
      <w:start w:val="1"/>
      <w:numFmt w:val="lowerLetter"/>
      <w:lvlText w:val="%5."/>
      <w:lvlJc w:val="left"/>
      <w:pPr>
        <w:ind w:left="3600" w:hanging="360"/>
      </w:pPr>
    </w:lvl>
    <w:lvl w:ilvl="5" w:tplc="F998055C">
      <w:start w:val="1"/>
      <w:numFmt w:val="lowerRoman"/>
      <w:lvlText w:val="%6."/>
      <w:lvlJc w:val="right"/>
      <w:pPr>
        <w:ind w:left="4320" w:hanging="180"/>
      </w:pPr>
    </w:lvl>
    <w:lvl w:ilvl="6" w:tplc="DEBEA864">
      <w:start w:val="1"/>
      <w:numFmt w:val="decimal"/>
      <w:lvlText w:val="%7."/>
      <w:lvlJc w:val="left"/>
      <w:pPr>
        <w:ind w:left="5040" w:hanging="360"/>
      </w:pPr>
    </w:lvl>
    <w:lvl w:ilvl="7" w:tplc="6E761476">
      <w:start w:val="1"/>
      <w:numFmt w:val="lowerLetter"/>
      <w:lvlText w:val="%8."/>
      <w:lvlJc w:val="left"/>
      <w:pPr>
        <w:ind w:left="5760" w:hanging="360"/>
      </w:pPr>
    </w:lvl>
    <w:lvl w:ilvl="8" w:tplc="5DF4D856">
      <w:start w:val="1"/>
      <w:numFmt w:val="lowerRoman"/>
      <w:lvlText w:val="%9."/>
      <w:lvlJc w:val="right"/>
      <w:pPr>
        <w:ind w:left="6480" w:hanging="180"/>
      </w:pPr>
    </w:lvl>
  </w:abstractNum>
  <w:abstractNum w:abstractNumId="2" w15:restartNumberingAfterBreak="0">
    <w:nsid w:val="0D715AB8"/>
    <w:multiLevelType w:val="hybridMultilevel"/>
    <w:tmpl w:val="13AA9F2A"/>
    <w:lvl w:ilvl="0" w:tplc="B89A5CB8">
      <w:start w:val="1"/>
      <w:numFmt w:val="upperLetter"/>
      <w:lvlText w:val="%1."/>
      <w:lvlJc w:val="left"/>
      <w:pPr>
        <w:ind w:left="392" w:hanging="293"/>
      </w:pPr>
      <w:rPr>
        <w:rFonts w:ascii="Times New Roman" w:eastAsia="Times New Roman" w:hAnsi="Times New Roman" w:hint="default"/>
        <w:b/>
        <w:bCs/>
        <w:spacing w:val="-1"/>
        <w:sz w:val="24"/>
        <w:szCs w:val="24"/>
      </w:rPr>
    </w:lvl>
    <w:lvl w:ilvl="1" w:tplc="9B4082E2">
      <w:start w:val="1"/>
      <w:numFmt w:val="decimal"/>
      <w:lvlText w:val="%2."/>
      <w:lvlJc w:val="left"/>
      <w:pPr>
        <w:ind w:left="100" w:hanging="240"/>
      </w:pPr>
      <w:rPr>
        <w:b/>
        <w:bCs/>
        <w:sz w:val="24"/>
        <w:szCs w:val="24"/>
      </w:rPr>
    </w:lvl>
    <w:lvl w:ilvl="2" w:tplc="AFD4FDAA">
      <w:start w:val="1"/>
      <w:numFmt w:val="bullet"/>
      <w:lvlText w:val="•"/>
      <w:lvlJc w:val="left"/>
      <w:pPr>
        <w:ind w:left="1393" w:hanging="240"/>
      </w:pPr>
      <w:rPr>
        <w:rFonts w:hint="default"/>
      </w:rPr>
    </w:lvl>
    <w:lvl w:ilvl="3" w:tplc="1A965706">
      <w:start w:val="1"/>
      <w:numFmt w:val="bullet"/>
      <w:lvlText w:val="•"/>
      <w:lvlJc w:val="left"/>
      <w:pPr>
        <w:ind w:left="2394" w:hanging="240"/>
      </w:pPr>
      <w:rPr>
        <w:rFonts w:hint="default"/>
      </w:rPr>
    </w:lvl>
    <w:lvl w:ilvl="4" w:tplc="E99CC7DA">
      <w:start w:val="1"/>
      <w:numFmt w:val="bullet"/>
      <w:lvlText w:val="•"/>
      <w:lvlJc w:val="left"/>
      <w:pPr>
        <w:ind w:left="3395" w:hanging="240"/>
      </w:pPr>
      <w:rPr>
        <w:rFonts w:hint="default"/>
      </w:rPr>
    </w:lvl>
    <w:lvl w:ilvl="5" w:tplc="B09E1024">
      <w:start w:val="1"/>
      <w:numFmt w:val="bullet"/>
      <w:lvlText w:val="•"/>
      <w:lvlJc w:val="left"/>
      <w:pPr>
        <w:ind w:left="4396" w:hanging="240"/>
      </w:pPr>
      <w:rPr>
        <w:rFonts w:hint="default"/>
      </w:rPr>
    </w:lvl>
    <w:lvl w:ilvl="6" w:tplc="A9C6B2BE">
      <w:start w:val="1"/>
      <w:numFmt w:val="bullet"/>
      <w:lvlText w:val="•"/>
      <w:lvlJc w:val="left"/>
      <w:pPr>
        <w:ind w:left="5396" w:hanging="240"/>
      </w:pPr>
      <w:rPr>
        <w:rFonts w:hint="default"/>
      </w:rPr>
    </w:lvl>
    <w:lvl w:ilvl="7" w:tplc="A704AF58">
      <w:start w:val="1"/>
      <w:numFmt w:val="bullet"/>
      <w:lvlText w:val="•"/>
      <w:lvlJc w:val="left"/>
      <w:pPr>
        <w:ind w:left="6397" w:hanging="240"/>
      </w:pPr>
      <w:rPr>
        <w:rFonts w:hint="default"/>
      </w:rPr>
    </w:lvl>
    <w:lvl w:ilvl="8" w:tplc="6C4AF034">
      <w:start w:val="1"/>
      <w:numFmt w:val="bullet"/>
      <w:lvlText w:val="•"/>
      <w:lvlJc w:val="left"/>
      <w:pPr>
        <w:ind w:left="7398" w:hanging="240"/>
      </w:pPr>
      <w:rPr>
        <w:rFonts w:hint="default"/>
      </w:rPr>
    </w:lvl>
  </w:abstractNum>
  <w:abstractNum w:abstractNumId="3" w15:restartNumberingAfterBreak="0">
    <w:nsid w:val="0E7C4D6D"/>
    <w:multiLevelType w:val="hybridMultilevel"/>
    <w:tmpl w:val="3A786FC8"/>
    <w:lvl w:ilvl="0" w:tplc="CE9E0D4A">
      <w:start w:val="1"/>
      <w:numFmt w:val="upperLetter"/>
      <w:lvlText w:val="%1."/>
      <w:lvlJc w:val="left"/>
      <w:pPr>
        <w:ind w:left="720" w:hanging="360"/>
      </w:pPr>
    </w:lvl>
    <w:lvl w:ilvl="1" w:tplc="538A7060">
      <w:start w:val="1"/>
      <w:numFmt w:val="lowerLetter"/>
      <w:lvlText w:val="%2."/>
      <w:lvlJc w:val="left"/>
      <w:pPr>
        <w:ind w:left="1440" w:hanging="360"/>
      </w:pPr>
    </w:lvl>
    <w:lvl w:ilvl="2" w:tplc="830E3858">
      <w:start w:val="1"/>
      <w:numFmt w:val="lowerRoman"/>
      <w:lvlText w:val="%3."/>
      <w:lvlJc w:val="right"/>
      <w:pPr>
        <w:ind w:left="2160" w:hanging="180"/>
      </w:pPr>
    </w:lvl>
    <w:lvl w:ilvl="3" w:tplc="FE8AB7D4">
      <w:start w:val="1"/>
      <w:numFmt w:val="decimal"/>
      <w:lvlText w:val="%4."/>
      <w:lvlJc w:val="left"/>
      <w:pPr>
        <w:ind w:left="2880" w:hanging="360"/>
      </w:pPr>
    </w:lvl>
    <w:lvl w:ilvl="4" w:tplc="E0B057FA">
      <w:start w:val="1"/>
      <w:numFmt w:val="lowerLetter"/>
      <w:lvlText w:val="%5."/>
      <w:lvlJc w:val="left"/>
      <w:pPr>
        <w:ind w:left="3600" w:hanging="360"/>
      </w:pPr>
    </w:lvl>
    <w:lvl w:ilvl="5" w:tplc="7688A480">
      <w:start w:val="1"/>
      <w:numFmt w:val="lowerRoman"/>
      <w:lvlText w:val="%6."/>
      <w:lvlJc w:val="right"/>
      <w:pPr>
        <w:ind w:left="4320" w:hanging="180"/>
      </w:pPr>
    </w:lvl>
    <w:lvl w:ilvl="6" w:tplc="59D844BE">
      <w:start w:val="1"/>
      <w:numFmt w:val="decimal"/>
      <w:lvlText w:val="%7."/>
      <w:lvlJc w:val="left"/>
      <w:pPr>
        <w:ind w:left="5040" w:hanging="360"/>
      </w:pPr>
    </w:lvl>
    <w:lvl w:ilvl="7" w:tplc="A4305470">
      <w:start w:val="1"/>
      <w:numFmt w:val="lowerLetter"/>
      <w:lvlText w:val="%8."/>
      <w:lvlJc w:val="left"/>
      <w:pPr>
        <w:ind w:left="5760" w:hanging="360"/>
      </w:pPr>
    </w:lvl>
    <w:lvl w:ilvl="8" w:tplc="D15895CE">
      <w:start w:val="1"/>
      <w:numFmt w:val="lowerRoman"/>
      <w:lvlText w:val="%9."/>
      <w:lvlJc w:val="right"/>
      <w:pPr>
        <w:ind w:left="6480" w:hanging="180"/>
      </w:pPr>
    </w:lvl>
  </w:abstractNum>
  <w:abstractNum w:abstractNumId="4" w15:restartNumberingAfterBreak="0">
    <w:nsid w:val="18595077"/>
    <w:multiLevelType w:val="hybridMultilevel"/>
    <w:tmpl w:val="5DC245FE"/>
    <w:lvl w:ilvl="0" w:tplc="76E0DB4C">
      <w:start w:val="1"/>
      <w:numFmt w:val="decimal"/>
      <w:lvlText w:val="%1."/>
      <w:lvlJc w:val="left"/>
      <w:pPr>
        <w:ind w:left="720" w:hanging="360"/>
      </w:pPr>
    </w:lvl>
    <w:lvl w:ilvl="1" w:tplc="8D82476E">
      <w:start w:val="1"/>
      <w:numFmt w:val="lowerLetter"/>
      <w:lvlText w:val="%2."/>
      <w:lvlJc w:val="left"/>
      <w:pPr>
        <w:ind w:left="1440" w:hanging="360"/>
      </w:pPr>
    </w:lvl>
    <w:lvl w:ilvl="2" w:tplc="AB3C9704">
      <w:start w:val="1"/>
      <w:numFmt w:val="lowerRoman"/>
      <w:lvlText w:val="%3."/>
      <w:lvlJc w:val="right"/>
      <w:pPr>
        <w:ind w:left="2160" w:hanging="180"/>
      </w:pPr>
    </w:lvl>
    <w:lvl w:ilvl="3" w:tplc="FCE0CAFA">
      <w:start w:val="1"/>
      <w:numFmt w:val="decimal"/>
      <w:lvlText w:val="%4."/>
      <w:lvlJc w:val="left"/>
      <w:pPr>
        <w:ind w:left="2880" w:hanging="360"/>
      </w:pPr>
    </w:lvl>
    <w:lvl w:ilvl="4" w:tplc="80FEFDD0">
      <w:start w:val="1"/>
      <w:numFmt w:val="lowerLetter"/>
      <w:lvlText w:val="%5."/>
      <w:lvlJc w:val="left"/>
      <w:pPr>
        <w:ind w:left="3600" w:hanging="360"/>
      </w:pPr>
    </w:lvl>
    <w:lvl w:ilvl="5" w:tplc="9FACF26C">
      <w:start w:val="1"/>
      <w:numFmt w:val="lowerRoman"/>
      <w:lvlText w:val="%6."/>
      <w:lvlJc w:val="right"/>
      <w:pPr>
        <w:ind w:left="4320" w:hanging="180"/>
      </w:pPr>
    </w:lvl>
    <w:lvl w:ilvl="6" w:tplc="CF06974E">
      <w:start w:val="1"/>
      <w:numFmt w:val="decimal"/>
      <w:lvlText w:val="%7."/>
      <w:lvlJc w:val="left"/>
      <w:pPr>
        <w:ind w:left="5040" w:hanging="360"/>
      </w:pPr>
    </w:lvl>
    <w:lvl w:ilvl="7" w:tplc="1D8267A6">
      <w:start w:val="1"/>
      <w:numFmt w:val="lowerLetter"/>
      <w:lvlText w:val="%8."/>
      <w:lvlJc w:val="left"/>
      <w:pPr>
        <w:ind w:left="5760" w:hanging="360"/>
      </w:pPr>
    </w:lvl>
    <w:lvl w:ilvl="8" w:tplc="EA00AC06">
      <w:start w:val="1"/>
      <w:numFmt w:val="lowerRoman"/>
      <w:lvlText w:val="%9."/>
      <w:lvlJc w:val="right"/>
      <w:pPr>
        <w:ind w:left="6480" w:hanging="180"/>
      </w:pPr>
    </w:lvl>
  </w:abstractNum>
  <w:abstractNum w:abstractNumId="5" w15:restartNumberingAfterBreak="0">
    <w:nsid w:val="1DA626EE"/>
    <w:multiLevelType w:val="hybridMultilevel"/>
    <w:tmpl w:val="4D60B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433F7"/>
    <w:multiLevelType w:val="hybridMultilevel"/>
    <w:tmpl w:val="B1E084A2"/>
    <w:lvl w:ilvl="0" w:tplc="A70CF122">
      <w:start w:val="1"/>
      <w:numFmt w:val="decimal"/>
      <w:lvlText w:val="%1."/>
      <w:lvlJc w:val="left"/>
      <w:pPr>
        <w:ind w:left="100" w:hanging="240"/>
      </w:pPr>
      <w:rPr>
        <w:rFonts w:ascii="Times New Roman" w:eastAsia="Times New Roman" w:hAnsi="Times New Roman" w:hint="default"/>
        <w:b/>
        <w:bCs/>
        <w:sz w:val="24"/>
        <w:szCs w:val="24"/>
      </w:rPr>
    </w:lvl>
    <w:lvl w:ilvl="1" w:tplc="3F1A1F22">
      <w:start w:val="1"/>
      <w:numFmt w:val="bullet"/>
      <w:lvlText w:val="•"/>
      <w:lvlJc w:val="left"/>
      <w:pPr>
        <w:ind w:left="1032" w:hanging="240"/>
      </w:pPr>
      <w:rPr>
        <w:rFonts w:hint="default"/>
      </w:rPr>
    </w:lvl>
    <w:lvl w:ilvl="2" w:tplc="BC660640">
      <w:start w:val="1"/>
      <w:numFmt w:val="bullet"/>
      <w:lvlText w:val="•"/>
      <w:lvlJc w:val="left"/>
      <w:pPr>
        <w:ind w:left="1964" w:hanging="240"/>
      </w:pPr>
      <w:rPr>
        <w:rFonts w:hint="default"/>
      </w:rPr>
    </w:lvl>
    <w:lvl w:ilvl="3" w:tplc="17242112">
      <w:start w:val="1"/>
      <w:numFmt w:val="bullet"/>
      <w:lvlText w:val="•"/>
      <w:lvlJc w:val="left"/>
      <w:pPr>
        <w:ind w:left="2896" w:hanging="240"/>
      </w:pPr>
      <w:rPr>
        <w:rFonts w:hint="default"/>
      </w:rPr>
    </w:lvl>
    <w:lvl w:ilvl="4" w:tplc="2B465FB8">
      <w:start w:val="1"/>
      <w:numFmt w:val="bullet"/>
      <w:lvlText w:val="•"/>
      <w:lvlJc w:val="left"/>
      <w:pPr>
        <w:ind w:left="3828" w:hanging="240"/>
      </w:pPr>
      <w:rPr>
        <w:rFonts w:hint="default"/>
      </w:rPr>
    </w:lvl>
    <w:lvl w:ilvl="5" w:tplc="A4FA760A">
      <w:start w:val="1"/>
      <w:numFmt w:val="bullet"/>
      <w:lvlText w:val="•"/>
      <w:lvlJc w:val="left"/>
      <w:pPr>
        <w:ind w:left="4760" w:hanging="240"/>
      </w:pPr>
      <w:rPr>
        <w:rFonts w:hint="default"/>
      </w:rPr>
    </w:lvl>
    <w:lvl w:ilvl="6" w:tplc="D9C05B92">
      <w:start w:val="1"/>
      <w:numFmt w:val="bullet"/>
      <w:lvlText w:val="•"/>
      <w:lvlJc w:val="left"/>
      <w:pPr>
        <w:ind w:left="5692" w:hanging="240"/>
      </w:pPr>
      <w:rPr>
        <w:rFonts w:hint="default"/>
      </w:rPr>
    </w:lvl>
    <w:lvl w:ilvl="7" w:tplc="5F76CBC2">
      <w:start w:val="1"/>
      <w:numFmt w:val="bullet"/>
      <w:lvlText w:val="•"/>
      <w:lvlJc w:val="left"/>
      <w:pPr>
        <w:ind w:left="6624" w:hanging="240"/>
      </w:pPr>
      <w:rPr>
        <w:rFonts w:hint="default"/>
      </w:rPr>
    </w:lvl>
    <w:lvl w:ilvl="8" w:tplc="538ED5D2">
      <w:start w:val="1"/>
      <w:numFmt w:val="bullet"/>
      <w:lvlText w:val="•"/>
      <w:lvlJc w:val="left"/>
      <w:pPr>
        <w:ind w:left="7556" w:hanging="240"/>
      </w:pPr>
      <w:rPr>
        <w:rFonts w:hint="default"/>
      </w:rPr>
    </w:lvl>
  </w:abstractNum>
  <w:abstractNum w:abstractNumId="7" w15:restartNumberingAfterBreak="0">
    <w:nsid w:val="35D748FB"/>
    <w:multiLevelType w:val="hybridMultilevel"/>
    <w:tmpl w:val="FE20D4F6"/>
    <w:lvl w:ilvl="0" w:tplc="9E269DB2">
      <w:start w:val="2"/>
      <w:numFmt w:val="decimal"/>
      <w:lvlText w:val="%1."/>
      <w:lvlJc w:val="left"/>
      <w:pPr>
        <w:ind w:left="100" w:hanging="240"/>
      </w:pPr>
      <w:rPr>
        <w:rFonts w:ascii="Times New Roman" w:eastAsia="Times New Roman" w:hAnsi="Times New Roman" w:hint="default"/>
        <w:b/>
        <w:bCs/>
        <w:sz w:val="24"/>
        <w:szCs w:val="24"/>
      </w:rPr>
    </w:lvl>
    <w:lvl w:ilvl="1" w:tplc="2FA2BF96">
      <w:start w:val="1"/>
      <w:numFmt w:val="bullet"/>
      <w:lvlText w:val="•"/>
      <w:lvlJc w:val="left"/>
      <w:pPr>
        <w:ind w:left="1036" w:hanging="240"/>
      </w:pPr>
      <w:rPr>
        <w:rFonts w:hint="default"/>
      </w:rPr>
    </w:lvl>
    <w:lvl w:ilvl="2" w:tplc="65AC0D54">
      <w:start w:val="1"/>
      <w:numFmt w:val="bullet"/>
      <w:lvlText w:val="•"/>
      <w:lvlJc w:val="left"/>
      <w:pPr>
        <w:ind w:left="1972" w:hanging="240"/>
      </w:pPr>
      <w:rPr>
        <w:rFonts w:hint="default"/>
      </w:rPr>
    </w:lvl>
    <w:lvl w:ilvl="3" w:tplc="914C8BF0">
      <w:start w:val="1"/>
      <w:numFmt w:val="bullet"/>
      <w:lvlText w:val="•"/>
      <w:lvlJc w:val="left"/>
      <w:pPr>
        <w:ind w:left="2908" w:hanging="240"/>
      </w:pPr>
      <w:rPr>
        <w:rFonts w:hint="default"/>
      </w:rPr>
    </w:lvl>
    <w:lvl w:ilvl="4" w:tplc="1AF45B90">
      <w:start w:val="1"/>
      <w:numFmt w:val="bullet"/>
      <w:lvlText w:val="•"/>
      <w:lvlJc w:val="left"/>
      <w:pPr>
        <w:ind w:left="3844" w:hanging="240"/>
      </w:pPr>
      <w:rPr>
        <w:rFonts w:hint="default"/>
      </w:rPr>
    </w:lvl>
    <w:lvl w:ilvl="5" w:tplc="07E4335E">
      <w:start w:val="1"/>
      <w:numFmt w:val="bullet"/>
      <w:lvlText w:val="•"/>
      <w:lvlJc w:val="left"/>
      <w:pPr>
        <w:ind w:left="4780" w:hanging="240"/>
      </w:pPr>
      <w:rPr>
        <w:rFonts w:hint="default"/>
      </w:rPr>
    </w:lvl>
    <w:lvl w:ilvl="6" w:tplc="EB000486">
      <w:start w:val="1"/>
      <w:numFmt w:val="bullet"/>
      <w:lvlText w:val="•"/>
      <w:lvlJc w:val="left"/>
      <w:pPr>
        <w:ind w:left="5716" w:hanging="240"/>
      </w:pPr>
      <w:rPr>
        <w:rFonts w:hint="default"/>
      </w:rPr>
    </w:lvl>
    <w:lvl w:ilvl="7" w:tplc="C4F690AA">
      <w:start w:val="1"/>
      <w:numFmt w:val="bullet"/>
      <w:lvlText w:val="•"/>
      <w:lvlJc w:val="left"/>
      <w:pPr>
        <w:ind w:left="6652" w:hanging="240"/>
      </w:pPr>
      <w:rPr>
        <w:rFonts w:hint="default"/>
      </w:rPr>
    </w:lvl>
    <w:lvl w:ilvl="8" w:tplc="5C384B7A">
      <w:start w:val="1"/>
      <w:numFmt w:val="bullet"/>
      <w:lvlText w:val="•"/>
      <w:lvlJc w:val="left"/>
      <w:pPr>
        <w:ind w:left="7588" w:hanging="240"/>
      </w:pPr>
      <w:rPr>
        <w:rFonts w:hint="default"/>
      </w:rPr>
    </w:lvl>
  </w:abstractNum>
  <w:abstractNum w:abstractNumId="8" w15:restartNumberingAfterBreak="0">
    <w:nsid w:val="4AD17A14"/>
    <w:multiLevelType w:val="hybridMultilevel"/>
    <w:tmpl w:val="31084892"/>
    <w:lvl w:ilvl="0" w:tplc="6060BE0A">
      <w:start w:val="1"/>
      <w:numFmt w:val="upperRoman"/>
      <w:lvlText w:val="%1."/>
      <w:lvlJc w:val="left"/>
      <w:pPr>
        <w:ind w:left="313" w:hanging="214"/>
      </w:pPr>
      <w:rPr>
        <w:rFonts w:ascii="Times New Roman" w:eastAsia="Times New Roman" w:hAnsi="Times New Roman" w:hint="default"/>
        <w:b/>
        <w:bCs/>
        <w:sz w:val="24"/>
        <w:szCs w:val="24"/>
      </w:rPr>
    </w:lvl>
    <w:lvl w:ilvl="1" w:tplc="1F7ADA00">
      <w:start w:val="1"/>
      <w:numFmt w:val="decimal"/>
      <w:lvlText w:val="%2."/>
      <w:lvlJc w:val="left"/>
      <w:pPr>
        <w:ind w:left="100" w:hanging="240"/>
      </w:pPr>
      <w:rPr>
        <w:rFonts w:ascii="Times New Roman" w:eastAsia="Times New Roman" w:hAnsi="Times New Roman" w:hint="default"/>
        <w:sz w:val="24"/>
        <w:szCs w:val="24"/>
      </w:rPr>
    </w:lvl>
    <w:lvl w:ilvl="2" w:tplc="E6E2045E">
      <w:start w:val="1"/>
      <w:numFmt w:val="bullet"/>
      <w:lvlText w:val="•"/>
      <w:lvlJc w:val="left"/>
      <w:pPr>
        <w:ind w:left="1329" w:hanging="240"/>
      </w:pPr>
      <w:rPr>
        <w:rFonts w:hint="default"/>
      </w:rPr>
    </w:lvl>
    <w:lvl w:ilvl="3" w:tplc="C63ED5F8">
      <w:start w:val="1"/>
      <w:numFmt w:val="bullet"/>
      <w:lvlText w:val="•"/>
      <w:lvlJc w:val="left"/>
      <w:pPr>
        <w:ind w:left="2346" w:hanging="240"/>
      </w:pPr>
      <w:rPr>
        <w:rFonts w:hint="default"/>
      </w:rPr>
    </w:lvl>
    <w:lvl w:ilvl="4" w:tplc="0A0CDBE8">
      <w:start w:val="1"/>
      <w:numFmt w:val="bullet"/>
      <w:lvlText w:val="•"/>
      <w:lvlJc w:val="left"/>
      <w:pPr>
        <w:ind w:left="3362" w:hanging="240"/>
      </w:pPr>
      <w:rPr>
        <w:rFonts w:hint="default"/>
      </w:rPr>
    </w:lvl>
    <w:lvl w:ilvl="5" w:tplc="EFBA7C18">
      <w:start w:val="1"/>
      <w:numFmt w:val="bullet"/>
      <w:lvlText w:val="•"/>
      <w:lvlJc w:val="left"/>
      <w:pPr>
        <w:ind w:left="4378" w:hanging="240"/>
      </w:pPr>
      <w:rPr>
        <w:rFonts w:hint="default"/>
      </w:rPr>
    </w:lvl>
    <w:lvl w:ilvl="6" w:tplc="44F289A0">
      <w:start w:val="1"/>
      <w:numFmt w:val="bullet"/>
      <w:lvlText w:val="•"/>
      <w:lvlJc w:val="left"/>
      <w:pPr>
        <w:ind w:left="5394" w:hanging="240"/>
      </w:pPr>
      <w:rPr>
        <w:rFonts w:hint="default"/>
      </w:rPr>
    </w:lvl>
    <w:lvl w:ilvl="7" w:tplc="25AE10C0">
      <w:start w:val="1"/>
      <w:numFmt w:val="bullet"/>
      <w:lvlText w:val="•"/>
      <w:lvlJc w:val="left"/>
      <w:pPr>
        <w:ind w:left="6411" w:hanging="240"/>
      </w:pPr>
      <w:rPr>
        <w:rFonts w:hint="default"/>
      </w:rPr>
    </w:lvl>
    <w:lvl w:ilvl="8" w:tplc="08E0BF0A">
      <w:start w:val="1"/>
      <w:numFmt w:val="bullet"/>
      <w:lvlText w:val="•"/>
      <w:lvlJc w:val="left"/>
      <w:pPr>
        <w:ind w:left="7427" w:hanging="240"/>
      </w:pPr>
      <w:rPr>
        <w:rFonts w:hint="default"/>
      </w:rPr>
    </w:lvl>
  </w:abstractNum>
  <w:abstractNum w:abstractNumId="9" w15:restartNumberingAfterBreak="0">
    <w:nsid w:val="53AF348D"/>
    <w:multiLevelType w:val="hybridMultilevel"/>
    <w:tmpl w:val="A63E1CE8"/>
    <w:lvl w:ilvl="0" w:tplc="3EFE161C">
      <w:start w:val="1"/>
      <w:numFmt w:val="decimal"/>
      <w:lvlText w:val="%1."/>
      <w:lvlJc w:val="left"/>
      <w:pPr>
        <w:ind w:left="720" w:hanging="360"/>
      </w:pPr>
    </w:lvl>
    <w:lvl w:ilvl="1" w:tplc="91EA326C">
      <w:start w:val="1"/>
      <w:numFmt w:val="upperLetter"/>
      <w:lvlText w:val="%2."/>
      <w:lvlJc w:val="left"/>
      <w:pPr>
        <w:ind w:left="1440" w:hanging="360"/>
      </w:pPr>
    </w:lvl>
    <w:lvl w:ilvl="2" w:tplc="DFFA0700">
      <w:start w:val="1"/>
      <w:numFmt w:val="lowerRoman"/>
      <w:lvlText w:val="%3."/>
      <w:lvlJc w:val="right"/>
      <w:pPr>
        <w:ind w:left="2160" w:hanging="180"/>
      </w:pPr>
    </w:lvl>
    <w:lvl w:ilvl="3" w:tplc="08784E90">
      <w:start w:val="1"/>
      <w:numFmt w:val="decimal"/>
      <w:lvlText w:val="%4."/>
      <w:lvlJc w:val="left"/>
      <w:pPr>
        <w:ind w:left="2880" w:hanging="360"/>
      </w:pPr>
    </w:lvl>
    <w:lvl w:ilvl="4" w:tplc="69C66904">
      <w:start w:val="1"/>
      <w:numFmt w:val="lowerLetter"/>
      <w:lvlText w:val="%5."/>
      <w:lvlJc w:val="left"/>
      <w:pPr>
        <w:ind w:left="3600" w:hanging="360"/>
      </w:pPr>
    </w:lvl>
    <w:lvl w:ilvl="5" w:tplc="1FB6125C">
      <w:start w:val="1"/>
      <w:numFmt w:val="lowerRoman"/>
      <w:lvlText w:val="%6."/>
      <w:lvlJc w:val="right"/>
      <w:pPr>
        <w:ind w:left="4320" w:hanging="180"/>
      </w:pPr>
    </w:lvl>
    <w:lvl w:ilvl="6" w:tplc="A3F0DF24">
      <w:start w:val="1"/>
      <w:numFmt w:val="decimal"/>
      <w:lvlText w:val="%7."/>
      <w:lvlJc w:val="left"/>
      <w:pPr>
        <w:ind w:left="5040" w:hanging="360"/>
      </w:pPr>
    </w:lvl>
    <w:lvl w:ilvl="7" w:tplc="EB965A04">
      <w:start w:val="1"/>
      <w:numFmt w:val="lowerLetter"/>
      <w:lvlText w:val="%8."/>
      <w:lvlJc w:val="left"/>
      <w:pPr>
        <w:ind w:left="5760" w:hanging="360"/>
      </w:pPr>
    </w:lvl>
    <w:lvl w:ilvl="8" w:tplc="E38AD440">
      <w:start w:val="1"/>
      <w:numFmt w:val="lowerRoman"/>
      <w:lvlText w:val="%9."/>
      <w:lvlJc w:val="right"/>
      <w:pPr>
        <w:ind w:left="6480" w:hanging="180"/>
      </w:pPr>
    </w:lvl>
  </w:abstractNum>
  <w:abstractNum w:abstractNumId="10" w15:restartNumberingAfterBreak="0">
    <w:nsid w:val="69176BA3"/>
    <w:multiLevelType w:val="hybridMultilevel"/>
    <w:tmpl w:val="4FEC81E2"/>
    <w:lvl w:ilvl="0" w:tplc="459E38E0">
      <w:start w:val="1"/>
      <w:numFmt w:val="decimal"/>
      <w:lvlText w:val="%1."/>
      <w:lvlJc w:val="left"/>
      <w:pPr>
        <w:ind w:left="119" w:hanging="240"/>
      </w:pPr>
      <w:rPr>
        <w:rFonts w:ascii="Times New Roman" w:eastAsia="Times New Roman" w:hAnsi="Times New Roman" w:hint="default"/>
        <w:sz w:val="24"/>
        <w:szCs w:val="24"/>
      </w:rPr>
    </w:lvl>
    <w:lvl w:ilvl="1" w:tplc="4B3A5D3A">
      <w:start w:val="1"/>
      <w:numFmt w:val="bullet"/>
      <w:lvlText w:val="•"/>
      <w:lvlJc w:val="left"/>
      <w:pPr>
        <w:ind w:left="1051" w:hanging="240"/>
      </w:pPr>
      <w:rPr>
        <w:rFonts w:hint="default"/>
      </w:rPr>
    </w:lvl>
    <w:lvl w:ilvl="2" w:tplc="D0D067C4">
      <w:start w:val="1"/>
      <w:numFmt w:val="bullet"/>
      <w:lvlText w:val="•"/>
      <w:lvlJc w:val="left"/>
      <w:pPr>
        <w:ind w:left="1983" w:hanging="240"/>
      </w:pPr>
      <w:rPr>
        <w:rFonts w:hint="default"/>
      </w:rPr>
    </w:lvl>
    <w:lvl w:ilvl="3" w:tplc="566C0766">
      <w:start w:val="1"/>
      <w:numFmt w:val="bullet"/>
      <w:lvlText w:val="•"/>
      <w:lvlJc w:val="left"/>
      <w:pPr>
        <w:ind w:left="2915" w:hanging="240"/>
      </w:pPr>
      <w:rPr>
        <w:rFonts w:hint="default"/>
      </w:rPr>
    </w:lvl>
    <w:lvl w:ilvl="4" w:tplc="4AA2A142">
      <w:start w:val="1"/>
      <w:numFmt w:val="bullet"/>
      <w:lvlText w:val="•"/>
      <w:lvlJc w:val="left"/>
      <w:pPr>
        <w:ind w:left="3847" w:hanging="240"/>
      </w:pPr>
      <w:rPr>
        <w:rFonts w:hint="default"/>
      </w:rPr>
    </w:lvl>
    <w:lvl w:ilvl="5" w:tplc="FF2AAA8A">
      <w:start w:val="1"/>
      <w:numFmt w:val="bullet"/>
      <w:lvlText w:val="•"/>
      <w:lvlJc w:val="left"/>
      <w:pPr>
        <w:ind w:left="4779" w:hanging="240"/>
      </w:pPr>
      <w:rPr>
        <w:rFonts w:hint="default"/>
      </w:rPr>
    </w:lvl>
    <w:lvl w:ilvl="6" w:tplc="E25C6962">
      <w:start w:val="1"/>
      <w:numFmt w:val="bullet"/>
      <w:lvlText w:val="•"/>
      <w:lvlJc w:val="left"/>
      <w:pPr>
        <w:ind w:left="5712" w:hanging="240"/>
      </w:pPr>
      <w:rPr>
        <w:rFonts w:hint="default"/>
      </w:rPr>
    </w:lvl>
    <w:lvl w:ilvl="7" w:tplc="48903CFE">
      <w:start w:val="1"/>
      <w:numFmt w:val="bullet"/>
      <w:lvlText w:val="•"/>
      <w:lvlJc w:val="left"/>
      <w:pPr>
        <w:ind w:left="6644" w:hanging="240"/>
      </w:pPr>
      <w:rPr>
        <w:rFonts w:hint="default"/>
      </w:rPr>
    </w:lvl>
    <w:lvl w:ilvl="8" w:tplc="390E5228">
      <w:start w:val="1"/>
      <w:numFmt w:val="bullet"/>
      <w:lvlText w:val="•"/>
      <w:lvlJc w:val="left"/>
      <w:pPr>
        <w:ind w:left="7576" w:hanging="240"/>
      </w:pPr>
      <w:rPr>
        <w:rFonts w:hint="default"/>
      </w:rPr>
    </w:lvl>
  </w:abstractNum>
  <w:abstractNum w:abstractNumId="11" w15:restartNumberingAfterBreak="0">
    <w:nsid w:val="6F9567B6"/>
    <w:multiLevelType w:val="hybridMultilevel"/>
    <w:tmpl w:val="D96A76A2"/>
    <w:lvl w:ilvl="0" w:tplc="80801762">
      <w:start w:val="3"/>
      <w:numFmt w:val="decimal"/>
      <w:lvlText w:val="%1."/>
      <w:lvlJc w:val="left"/>
      <w:pPr>
        <w:ind w:hanging="241"/>
      </w:pPr>
      <w:rPr>
        <w:rFonts w:ascii="Times New Roman" w:eastAsia="Times New Roman" w:hAnsi="Times New Roman" w:hint="default"/>
        <w:b/>
        <w:bCs/>
        <w:sz w:val="24"/>
        <w:szCs w:val="24"/>
      </w:rPr>
    </w:lvl>
    <w:lvl w:ilvl="1" w:tplc="5A8E645E">
      <w:start w:val="1"/>
      <w:numFmt w:val="lowerLetter"/>
      <w:lvlText w:val="%2."/>
      <w:lvlJc w:val="left"/>
      <w:pPr>
        <w:ind w:hanging="360"/>
      </w:pPr>
      <w:rPr>
        <w:rFonts w:ascii="Times New Roman" w:eastAsia="Times New Roman" w:hAnsi="Times New Roman" w:hint="default"/>
        <w:sz w:val="24"/>
        <w:szCs w:val="24"/>
      </w:rPr>
    </w:lvl>
    <w:lvl w:ilvl="2" w:tplc="E22AF12C">
      <w:start w:val="1"/>
      <w:numFmt w:val="bullet"/>
      <w:lvlText w:val="•"/>
      <w:lvlJc w:val="left"/>
      <w:rPr>
        <w:rFonts w:hint="default"/>
      </w:rPr>
    </w:lvl>
    <w:lvl w:ilvl="3" w:tplc="A4BAE326">
      <w:start w:val="1"/>
      <w:numFmt w:val="bullet"/>
      <w:lvlText w:val="•"/>
      <w:lvlJc w:val="left"/>
      <w:rPr>
        <w:rFonts w:hint="default"/>
      </w:rPr>
    </w:lvl>
    <w:lvl w:ilvl="4" w:tplc="B2642FD6">
      <w:start w:val="1"/>
      <w:numFmt w:val="bullet"/>
      <w:lvlText w:val="•"/>
      <w:lvlJc w:val="left"/>
      <w:rPr>
        <w:rFonts w:hint="default"/>
      </w:rPr>
    </w:lvl>
    <w:lvl w:ilvl="5" w:tplc="9E0E1EAA">
      <w:start w:val="1"/>
      <w:numFmt w:val="bullet"/>
      <w:lvlText w:val="•"/>
      <w:lvlJc w:val="left"/>
      <w:rPr>
        <w:rFonts w:hint="default"/>
      </w:rPr>
    </w:lvl>
    <w:lvl w:ilvl="6" w:tplc="9FA064CA">
      <w:start w:val="1"/>
      <w:numFmt w:val="bullet"/>
      <w:lvlText w:val="•"/>
      <w:lvlJc w:val="left"/>
      <w:rPr>
        <w:rFonts w:hint="default"/>
      </w:rPr>
    </w:lvl>
    <w:lvl w:ilvl="7" w:tplc="1786C654">
      <w:start w:val="1"/>
      <w:numFmt w:val="bullet"/>
      <w:lvlText w:val="•"/>
      <w:lvlJc w:val="left"/>
      <w:rPr>
        <w:rFonts w:hint="default"/>
      </w:rPr>
    </w:lvl>
    <w:lvl w:ilvl="8" w:tplc="3594D2EA">
      <w:start w:val="1"/>
      <w:numFmt w:val="bullet"/>
      <w:lvlText w:val="•"/>
      <w:lvlJc w:val="left"/>
      <w:rPr>
        <w:rFonts w:hint="default"/>
      </w:rPr>
    </w:lvl>
  </w:abstractNum>
  <w:abstractNum w:abstractNumId="12" w15:restartNumberingAfterBreak="0">
    <w:nsid w:val="756C7D8E"/>
    <w:multiLevelType w:val="hybridMultilevel"/>
    <w:tmpl w:val="1F044A3C"/>
    <w:lvl w:ilvl="0" w:tplc="4AFAEED2">
      <w:start w:val="3"/>
      <w:numFmt w:val="upperRoman"/>
      <w:lvlText w:val="%1."/>
      <w:lvlJc w:val="left"/>
      <w:pPr>
        <w:ind w:left="720" w:hanging="360"/>
      </w:pPr>
    </w:lvl>
    <w:lvl w:ilvl="1" w:tplc="A4607158">
      <w:start w:val="1"/>
      <w:numFmt w:val="lowerLetter"/>
      <w:lvlText w:val="%2."/>
      <w:lvlJc w:val="left"/>
      <w:pPr>
        <w:ind w:left="1440" w:hanging="360"/>
      </w:pPr>
    </w:lvl>
    <w:lvl w:ilvl="2" w:tplc="CEB694AC">
      <w:start w:val="1"/>
      <w:numFmt w:val="lowerRoman"/>
      <w:lvlText w:val="%3."/>
      <w:lvlJc w:val="right"/>
      <w:pPr>
        <w:ind w:left="2160" w:hanging="180"/>
      </w:pPr>
    </w:lvl>
    <w:lvl w:ilvl="3" w:tplc="25B01BEE">
      <w:start w:val="1"/>
      <w:numFmt w:val="decimal"/>
      <w:lvlText w:val="%4."/>
      <w:lvlJc w:val="left"/>
      <w:pPr>
        <w:ind w:left="2880" w:hanging="360"/>
      </w:pPr>
    </w:lvl>
    <w:lvl w:ilvl="4" w:tplc="F58E032A">
      <w:start w:val="1"/>
      <w:numFmt w:val="lowerLetter"/>
      <w:lvlText w:val="%5."/>
      <w:lvlJc w:val="left"/>
      <w:pPr>
        <w:ind w:left="3600" w:hanging="360"/>
      </w:pPr>
    </w:lvl>
    <w:lvl w:ilvl="5" w:tplc="9D64B220">
      <w:start w:val="1"/>
      <w:numFmt w:val="lowerRoman"/>
      <w:lvlText w:val="%6."/>
      <w:lvlJc w:val="right"/>
      <w:pPr>
        <w:ind w:left="4320" w:hanging="180"/>
      </w:pPr>
    </w:lvl>
    <w:lvl w:ilvl="6" w:tplc="2A707188">
      <w:start w:val="1"/>
      <w:numFmt w:val="decimal"/>
      <w:lvlText w:val="%7."/>
      <w:lvlJc w:val="left"/>
      <w:pPr>
        <w:ind w:left="5040" w:hanging="360"/>
      </w:pPr>
    </w:lvl>
    <w:lvl w:ilvl="7" w:tplc="C8D06E42">
      <w:start w:val="1"/>
      <w:numFmt w:val="lowerLetter"/>
      <w:lvlText w:val="%8."/>
      <w:lvlJc w:val="left"/>
      <w:pPr>
        <w:ind w:left="5760" w:hanging="360"/>
      </w:pPr>
    </w:lvl>
    <w:lvl w:ilvl="8" w:tplc="71DC9AB8">
      <w:start w:val="1"/>
      <w:numFmt w:val="lowerRoman"/>
      <w:lvlText w:val="%9."/>
      <w:lvlJc w:val="right"/>
      <w:pPr>
        <w:ind w:left="6480" w:hanging="180"/>
      </w:pPr>
    </w:lvl>
  </w:abstractNum>
  <w:num w:numId="1">
    <w:abstractNumId w:val="12"/>
  </w:num>
  <w:num w:numId="2">
    <w:abstractNumId w:val="3"/>
  </w:num>
  <w:num w:numId="3">
    <w:abstractNumId w:val="9"/>
  </w:num>
  <w:num w:numId="4">
    <w:abstractNumId w:val="1"/>
  </w:num>
  <w:num w:numId="5">
    <w:abstractNumId w:val="0"/>
  </w:num>
  <w:num w:numId="6">
    <w:abstractNumId w:val="4"/>
  </w:num>
  <w:num w:numId="7">
    <w:abstractNumId w:val="10"/>
  </w:num>
  <w:num w:numId="8">
    <w:abstractNumId w:val="6"/>
  </w:num>
  <w:num w:numId="9">
    <w:abstractNumId w:val="7"/>
  </w:num>
  <w:num w:numId="10">
    <w:abstractNumId w:val="2"/>
  </w:num>
  <w:num w:numId="11">
    <w:abstractNumId w:val="8"/>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9B3AC7"/>
    <w:rsid w:val="00033FA4"/>
    <w:rsid w:val="00037AB0"/>
    <w:rsid w:val="000B1636"/>
    <w:rsid w:val="000E31EE"/>
    <w:rsid w:val="00191E78"/>
    <w:rsid w:val="00211C65"/>
    <w:rsid w:val="002312C1"/>
    <w:rsid w:val="0025232D"/>
    <w:rsid w:val="003C3EC8"/>
    <w:rsid w:val="004927C6"/>
    <w:rsid w:val="00524430"/>
    <w:rsid w:val="005B02BC"/>
    <w:rsid w:val="005E5F26"/>
    <w:rsid w:val="0061420C"/>
    <w:rsid w:val="0066640F"/>
    <w:rsid w:val="00666C4F"/>
    <w:rsid w:val="0067093C"/>
    <w:rsid w:val="00672436"/>
    <w:rsid w:val="00684F41"/>
    <w:rsid w:val="007D4925"/>
    <w:rsid w:val="00841D1B"/>
    <w:rsid w:val="008F0DC1"/>
    <w:rsid w:val="00A91CFD"/>
    <w:rsid w:val="00AF4D35"/>
    <w:rsid w:val="00C35903"/>
    <w:rsid w:val="00DA2A46"/>
    <w:rsid w:val="00DC71E3"/>
    <w:rsid w:val="00F60CDE"/>
    <w:rsid w:val="00FA0D6B"/>
    <w:rsid w:val="01D37B9E"/>
    <w:rsid w:val="0B35627C"/>
    <w:rsid w:val="0CAA8CD3"/>
    <w:rsid w:val="1358EC7D"/>
    <w:rsid w:val="16674F42"/>
    <w:rsid w:val="2011D874"/>
    <w:rsid w:val="2752F18A"/>
    <w:rsid w:val="46B8B1E2"/>
    <w:rsid w:val="581C9FD0"/>
    <w:rsid w:val="62483706"/>
    <w:rsid w:val="629B3AC7"/>
    <w:rsid w:val="6F229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609A"/>
  <w15:docId w15:val="{C40B327F-9CD2-46C0-9DB7-36BAC022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392" w:hanging="292"/>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C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B02BC"/>
    <w:rPr>
      <w:b/>
      <w:bCs/>
    </w:rPr>
  </w:style>
  <w:style w:type="character" w:customStyle="1" w:styleId="CommentSubjectChar">
    <w:name w:val="Comment Subject Char"/>
    <w:basedOn w:val="CommentTextChar"/>
    <w:link w:val="CommentSubject"/>
    <w:uiPriority w:val="99"/>
    <w:semiHidden/>
    <w:rsid w:val="005B02BC"/>
    <w:rPr>
      <w:b/>
      <w:bCs/>
      <w:sz w:val="20"/>
      <w:szCs w:val="20"/>
    </w:rPr>
  </w:style>
  <w:style w:type="paragraph" w:styleId="Header">
    <w:name w:val="header"/>
    <w:basedOn w:val="Normal"/>
    <w:link w:val="HeaderChar"/>
    <w:uiPriority w:val="99"/>
    <w:unhideWhenUsed/>
    <w:rsid w:val="00211C65"/>
    <w:pPr>
      <w:tabs>
        <w:tab w:val="center" w:pos="4680"/>
        <w:tab w:val="right" w:pos="9360"/>
      </w:tabs>
    </w:pPr>
  </w:style>
  <w:style w:type="character" w:customStyle="1" w:styleId="HeaderChar">
    <w:name w:val="Header Char"/>
    <w:basedOn w:val="DefaultParagraphFont"/>
    <w:link w:val="Header"/>
    <w:uiPriority w:val="99"/>
    <w:rsid w:val="00211C65"/>
  </w:style>
  <w:style w:type="paragraph" w:styleId="Footer">
    <w:name w:val="footer"/>
    <w:basedOn w:val="Normal"/>
    <w:link w:val="FooterChar"/>
    <w:uiPriority w:val="99"/>
    <w:unhideWhenUsed/>
    <w:rsid w:val="00211C65"/>
    <w:pPr>
      <w:tabs>
        <w:tab w:val="center" w:pos="4680"/>
        <w:tab w:val="right" w:pos="9360"/>
      </w:tabs>
    </w:pPr>
  </w:style>
  <w:style w:type="character" w:customStyle="1" w:styleId="FooterChar">
    <w:name w:val="Footer Char"/>
    <w:basedOn w:val="DefaultParagraphFont"/>
    <w:link w:val="Footer"/>
    <w:uiPriority w:val="99"/>
    <w:rsid w:val="0021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Wagner</dc:creator>
  <cp:lastModifiedBy>Taina Teran</cp:lastModifiedBy>
  <cp:revision>6</cp:revision>
  <dcterms:created xsi:type="dcterms:W3CDTF">2020-11-13T20:02:00Z</dcterms:created>
  <dcterms:modified xsi:type="dcterms:W3CDTF">2021-10-25T14:21:00Z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2018-06-25T00:00:00Z</vt:filetime>
  </property>
  <property fmtid="{D5CDD505-2E9C-101B-9397-08002B2CF9AE}" pid="3" name="LastSaved">
    <vt:filetime>2020-10-10T00:00:00Z</vt:filetime>
  </property>
</Properties>
</file>