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09" w:rsidRPr="00C303CE" w:rsidRDefault="00C303CE" w:rsidP="00444309">
      <w:pPr>
        <w:jc w:val="center"/>
        <w:rPr>
          <w:b/>
          <w:sz w:val="28"/>
          <w:szCs w:val="28"/>
          <w:u w:val="single"/>
        </w:rPr>
      </w:pPr>
      <w:r w:rsidRPr="00C303CE">
        <w:rPr>
          <w:b/>
          <w:sz w:val="28"/>
          <w:szCs w:val="28"/>
          <w:u w:val="single"/>
        </w:rPr>
        <w:t xml:space="preserve">Guidelines for the Use of </w:t>
      </w:r>
      <w:r w:rsidR="00444309" w:rsidRPr="00C303CE">
        <w:rPr>
          <w:b/>
          <w:sz w:val="28"/>
          <w:szCs w:val="28"/>
          <w:u w:val="single"/>
        </w:rPr>
        <w:t>Buprenorphine (Buprenex)</w:t>
      </w:r>
      <w:r w:rsidRPr="00C303CE">
        <w:rPr>
          <w:b/>
          <w:sz w:val="28"/>
          <w:szCs w:val="28"/>
          <w:u w:val="single"/>
        </w:rPr>
        <w:t xml:space="preserve"> </w:t>
      </w:r>
      <w:r>
        <w:rPr>
          <w:b/>
          <w:sz w:val="28"/>
          <w:szCs w:val="28"/>
          <w:u w:val="single"/>
        </w:rPr>
        <w:t xml:space="preserve">in Rodents </w:t>
      </w:r>
    </w:p>
    <w:p w:rsidR="00C303CE" w:rsidRPr="00226081" w:rsidRDefault="00C303CE" w:rsidP="00444309">
      <w:pPr>
        <w:jc w:val="center"/>
      </w:pPr>
      <w:r w:rsidRPr="00226081">
        <w:t>Reviewed and Approved by FAU IACUC</w:t>
      </w:r>
    </w:p>
    <w:p w:rsidR="00C303CE" w:rsidRPr="00226081" w:rsidRDefault="00C303CE" w:rsidP="00C303CE">
      <w:r w:rsidRPr="00226081">
        <w:t xml:space="preserve">Effective Date: </w:t>
      </w:r>
      <w:r w:rsidRPr="00226081">
        <w:tab/>
        <w:t>04 December 2015</w:t>
      </w:r>
      <w:r w:rsidRPr="00226081">
        <w:tab/>
      </w:r>
      <w:r w:rsidRPr="00226081">
        <w:tab/>
        <w:t xml:space="preserve">Last Reviewed/Revised: </w:t>
      </w:r>
      <w:r w:rsidRPr="00226081">
        <w:tab/>
        <w:t>N/A</w:t>
      </w:r>
    </w:p>
    <w:p w:rsidR="00444309" w:rsidRPr="00226081" w:rsidRDefault="00444309" w:rsidP="00444309">
      <w:pPr>
        <w:rPr>
          <w:b/>
        </w:rPr>
      </w:pPr>
    </w:p>
    <w:p w:rsidR="00444309" w:rsidRPr="00226081" w:rsidRDefault="00444309" w:rsidP="00444309">
      <w:r w:rsidRPr="00226081">
        <w:rPr>
          <w:b/>
        </w:rPr>
        <w:t xml:space="preserve">Buprenorphine: </w:t>
      </w:r>
      <w:r w:rsidRPr="00226081">
        <w:t>Trade name = Buprenex – Strength: 0.3 mg/ml in 1ml ampules</w:t>
      </w:r>
    </w:p>
    <w:p w:rsidR="007B00B9" w:rsidRPr="007B00B9" w:rsidRDefault="007B00B9" w:rsidP="00444309">
      <w:pPr>
        <w:rPr>
          <w:sz w:val="24"/>
          <w:szCs w:val="24"/>
          <w:u w:val="single"/>
        </w:rPr>
      </w:pPr>
      <w:r w:rsidRPr="00226081">
        <w:rPr>
          <w:u w:val="single"/>
        </w:rPr>
        <w:t xml:space="preserve">DEA Scheduled Drug. Must be handled, stored (double locked) and </w:t>
      </w:r>
      <w:r w:rsidR="00C303CE" w:rsidRPr="00226081">
        <w:rPr>
          <w:u w:val="single"/>
        </w:rPr>
        <w:t xml:space="preserve">its </w:t>
      </w:r>
      <w:r w:rsidRPr="00226081">
        <w:rPr>
          <w:u w:val="single"/>
        </w:rPr>
        <w:t>use recorded prope</w:t>
      </w:r>
      <w:r>
        <w:rPr>
          <w:sz w:val="24"/>
          <w:szCs w:val="24"/>
          <w:u w:val="single"/>
        </w:rPr>
        <w:t>rly!</w:t>
      </w:r>
    </w:p>
    <w:p w:rsidR="0019165E" w:rsidRPr="0019165E" w:rsidRDefault="0019165E" w:rsidP="0019165E">
      <w:pPr>
        <w:pStyle w:val="NoSpacing"/>
        <w:rPr>
          <w:u w:val="single"/>
        </w:rPr>
      </w:pPr>
      <w:r w:rsidRPr="0019165E">
        <w:rPr>
          <w:u w:val="single"/>
        </w:rPr>
        <w:t>General:</w:t>
      </w:r>
    </w:p>
    <w:p w:rsidR="00444309" w:rsidRDefault="00444309" w:rsidP="0019165E">
      <w:pPr>
        <w:pStyle w:val="NoSpacing"/>
        <w:numPr>
          <w:ilvl w:val="0"/>
          <w:numId w:val="1"/>
        </w:numPr>
      </w:pPr>
      <w:r>
        <w:t>Buprenorphine is a narcotic partial µ opiate agonist</w:t>
      </w:r>
      <w:r w:rsidR="0019165E">
        <w:t xml:space="preserve"> with excellent analgesic activity. </w:t>
      </w:r>
      <w:r>
        <w:t xml:space="preserve"> </w:t>
      </w:r>
      <w:r w:rsidR="0019165E">
        <w:t>For management of incisional pain the addition of a line block at the incision site (bupivacaine, lidocaine etc.) is recommended.</w:t>
      </w:r>
    </w:p>
    <w:p w:rsidR="0019165E" w:rsidRDefault="0019165E" w:rsidP="0019165E">
      <w:pPr>
        <w:pStyle w:val="NoSpacing"/>
        <w:numPr>
          <w:ilvl w:val="0"/>
          <w:numId w:val="1"/>
        </w:numPr>
      </w:pPr>
      <w:r>
        <w:t>Opioid analgesics may reduce the quantity of primary anesthetic administered.</w:t>
      </w:r>
    </w:p>
    <w:p w:rsidR="0019165E" w:rsidRDefault="0019165E" w:rsidP="0019165E">
      <w:pPr>
        <w:pStyle w:val="NoSpacing"/>
        <w:numPr>
          <w:ilvl w:val="0"/>
          <w:numId w:val="1"/>
        </w:numPr>
      </w:pPr>
      <w:r>
        <w:t>Respiratory depression is not usually a problem with buprenorphine at analgesic levels.</w:t>
      </w:r>
    </w:p>
    <w:p w:rsidR="0019165E" w:rsidRDefault="0019165E" w:rsidP="0019165E">
      <w:pPr>
        <w:pStyle w:val="NoSpacing"/>
        <w:numPr>
          <w:ilvl w:val="0"/>
          <w:numId w:val="1"/>
        </w:numPr>
      </w:pPr>
      <w:r>
        <w:t>It might cause mild anorexia and subsequent weight loss if administered more than once.</w:t>
      </w:r>
    </w:p>
    <w:p w:rsidR="0019165E" w:rsidRDefault="0019165E" w:rsidP="0019165E">
      <w:pPr>
        <w:pStyle w:val="NoSpacing"/>
        <w:numPr>
          <w:ilvl w:val="0"/>
          <w:numId w:val="1"/>
        </w:numPr>
      </w:pPr>
      <w:r>
        <w:t xml:space="preserve">It can influence behavior and lead to slightly increased spontaneous hyperactivity. </w:t>
      </w:r>
    </w:p>
    <w:p w:rsidR="00C303CE" w:rsidRPr="001D7BF6" w:rsidRDefault="0019165E" w:rsidP="00C303CE">
      <w:pPr>
        <w:pStyle w:val="NoSpacing"/>
        <w:numPr>
          <w:ilvl w:val="0"/>
          <w:numId w:val="2"/>
        </w:numPr>
        <w:rPr>
          <w:u w:val="single"/>
        </w:rPr>
      </w:pPr>
      <w:r>
        <w:t xml:space="preserve">At higher doses it is associated with pica (eating of substances without any nutritional value, usually bedding), especially in rats. </w:t>
      </w:r>
    </w:p>
    <w:p w:rsidR="0019165E" w:rsidRDefault="00C303CE" w:rsidP="0019165E">
      <w:pPr>
        <w:pStyle w:val="NoSpacing"/>
        <w:numPr>
          <w:ilvl w:val="0"/>
          <w:numId w:val="1"/>
        </w:numPr>
      </w:pPr>
      <w:r>
        <w:t>Due to the small size of most rodents (i.e. mice and rats) and the concentration of the original drug it might need to be diluted before administration for improving accuracy of administration.</w:t>
      </w:r>
    </w:p>
    <w:p w:rsidR="0019165E" w:rsidRDefault="0019165E" w:rsidP="0019165E">
      <w:pPr>
        <w:pStyle w:val="NoSpacing"/>
      </w:pPr>
    </w:p>
    <w:p w:rsidR="0019165E" w:rsidRDefault="001D7BF6" w:rsidP="0019165E">
      <w:pPr>
        <w:pStyle w:val="NoSpacing"/>
        <w:rPr>
          <w:u w:val="single"/>
        </w:rPr>
      </w:pPr>
      <w:r>
        <w:rPr>
          <w:u w:val="single"/>
        </w:rPr>
        <w:t xml:space="preserve">Storage and </w:t>
      </w:r>
      <w:r w:rsidRPr="001D7BF6">
        <w:rPr>
          <w:u w:val="single"/>
        </w:rPr>
        <w:t>Dilution of the Drug:</w:t>
      </w:r>
    </w:p>
    <w:p w:rsidR="00C303CE" w:rsidRDefault="00C303CE" w:rsidP="00C303CE">
      <w:pPr>
        <w:pStyle w:val="NoSpacing"/>
        <w:numPr>
          <w:ilvl w:val="0"/>
          <w:numId w:val="1"/>
        </w:numPr>
        <w:rPr>
          <w:u w:val="single"/>
        </w:rPr>
      </w:pPr>
      <w:r>
        <w:t>Buprenorphine is a controlled substance. Any product containing buprenorphine including dilutions and mixtures with other drugs must be stored according to DEA regulations, i.e. behind two locks while not in use.</w:t>
      </w:r>
    </w:p>
    <w:p w:rsidR="001D7BF6" w:rsidRPr="001D7BF6" w:rsidRDefault="001D7BF6" w:rsidP="001D7BF6">
      <w:pPr>
        <w:pStyle w:val="NoSpacing"/>
        <w:numPr>
          <w:ilvl w:val="0"/>
          <w:numId w:val="2"/>
        </w:numPr>
        <w:rPr>
          <w:u w:val="single"/>
        </w:rPr>
      </w:pPr>
      <w:r>
        <w:t>Any dilution</w:t>
      </w:r>
      <w:r w:rsidR="00C303CE">
        <w:t xml:space="preserve"> and/or mixture</w:t>
      </w:r>
      <w:r>
        <w:t xml:space="preserve"> of an original drug is considered an adulteration and therefore is considered a non-pharmacological compound. It needs to be described in the protocol and approved by the IACUC.</w:t>
      </w:r>
    </w:p>
    <w:p w:rsidR="007B00B9" w:rsidRPr="007B00B9" w:rsidRDefault="001D7BF6" w:rsidP="001D7BF6">
      <w:pPr>
        <w:pStyle w:val="NoSpacing"/>
        <w:numPr>
          <w:ilvl w:val="0"/>
          <w:numId w:val="2"/>
        </w:numPr>
        <w:rPr>
          <w:u w:val="single"/>
        </w:rPr>
      </w:pPr>
      <w:r>
        <w:t>Follow aseptic technique when diluting</w:t>
      </w:r>
    </w:p>
    <w:p w:rsidR="0089721C" w:rsidRPr="0089721C" w:rsidRDefault="0089721C" w:rsidP="007B00B9">
      <w:pPr>
        <w:pStyle w:val="NoSpacing"/>
        <w:numPr>
          <w:ilvl w:val="1"/>
          <w:numId w:val="2"/>
        </w:numPr>
        <w:rPr>
          <w:u w:val="single"/>
        </w:rPr>
      </w:pPr>
      <w:r>
        <w:t>Use only sterilized vials for diluted drug</w:t>
      </w:r>
    </w:p>
    <w:p w:rsidR="007B00B9" w:rsidRPr="007B00B9" w:rsidRDefault="007B00B9" w:rsidP="007B00B9">
      <w:pPr>
        <w:pStyle w:val="NoSpacing"/>
        <w:numPr>
          <w:ilvl w:val="1"/>
          <w:numId w:val="2"/>
        </w:numPr>
        <w:rPr>
          <w:u w:val="single"/>
        </w:rPr>
      </w:pPr>
      <w:r>
        <w:t xml:space="preserve">Clean port of </w:t>
      </w:r>
      <w:r w:rsidR="0089721C">
        <w:t xml:space="preserve">drug </w:t>
      </w:r>
      <w:r>
        <w:t xml:space="preserve">vial, saline bag or </w:t>
      </w:r>
      <w:r w:rsidR="0089721C">
        <w:t>sterile water</w:t>
      </w:r>
      <w:r>
        <w:t xml:space="preserve"> with alcohol prior to each withdrawal</w:t>
      </w:r>
    </w:p>
    <w:p w:rsidR="007B00B9" w:rsidRPr="007B00B9" w:rsidRDefault="007B00B9" w:rsidP="007B00B9">
      <w:pPr>
        <w:pStyle w:val="NoSpacing"/>
        <w:numPr>
          <w:ilvl w:val="1"/>
          <w:numId w:val="2"/>
        </w:numPr>
        <w:rPr>
          <w:u w:val="single"/>
        </w:rPr>
      </w:pPr>
      <w:r>
        <w:t xml:space="preserve">Withdraw drug using a new sterile needle and syringe </w:t>
      </w:r>
      <w:r w:rsidR="0089721C">
        <w:t xml:space="preserve">each time and </w:t>
      </w:r>
      <w:r>
        <w:t xml:space="preserve">for each animal </w:t>
      </w:r>
    </w:p>
    <w:p w:rsidR="001D7BF6" w:rsidRPr="001D7BF6" w:rsidRDefault="007B00B9" w:rsidP="001D7BF6">
      <w:pPr>
        <w:pStyle w:val="NoSpacing"/>
        <w:numPr>
          <w:ilvl w:val="0"/>
          <w:numId w:val="2"/>
        </w:numPr>
        <w:rPr>
          <w:u w:val="single"/>
        </w:rPr>
      </w:pPr>
      <w:r>
        <w:t>S</w:t>
      </w:r>
      <w:r w:rsidR="001D7BF6">
        <w:t xml:space="preserve">tore diluted Buprenex in </w:t>
      </w:r>
      <w:r w:rsidR="0089721C">
        <w:t xml:space="preserve">a </w:t>
      </w:r>
      <w:r w:rsidR="001D7BF6">
        <w:t xml:space="preserve">sterile vial for </w:t>
      </w:r>
      <w:r w:rsidR="001D7BF6" w:rsidRPr="001D7BF6">
        <w:rPr>
          <w:u w:val="single"/>
        </w:rPr>
        <w:t xml:space="preserve">no longer than </w:t>
      </w:r>
      <w:r w:rsidR="00FB4A84">
        <w:rPr>
          <w:u w:val="single"/>
        </w:rPr>
        <w:t xml:space="preserve">30 </w:t>
      </w:r>
      <w:r w:rsidR="001D7BF6" w:rsidRPr="001D7BF6">
        <w:rPr>
          <w:u w:val="single"/>
        </w:rPr>
        <w:t>days after dilution</w:t>
      </w:r>
      <w:r w:rsidR="001D7BF6">
        <w:t xml:space="preserve"> since it will lose potency. </w:t>
      </w:r>
      <w:r w:rsidR="00FB4A84">
        <w:t>Refrigeration is not required.</w:t>
      </w:r>
      <w:bookmarkStart w:id="0" w:name="_GoBack"/>
      <w:bookmarkEnd w:id="0"/>
    </w:p>
    <w:p w:rsidR="001D7BF6" w:rsidRPr="001D7BF6" w:rsidRDefault="001D7BF6" w:rsidP="001D7BF6">
      <w:pPr>
        <w:pStyle w:val="NoSpacing"/>
        <w:numPr>
          <w:ilvl w:val="0"/>
          <w:numId w:val="2"/>
        </w:numPr>
        <w:rPr>
          <w:u w:val="single"/>
        </w:rPr>
      </w:pPr>
      <w:r>
        <w:t xml:space="preserve">Buprenex is light sensitive and needs to either be stored </w:t>
      </w:r>
    </w:p>
    <w:p w:rsidR="001D7BF6" w:rsidRPr="001D7BF6" w:rsidRDefault="001D7BF6" w:rsidP="001D7BF6">
      <w:pPr>
        <w:pStyle w:val="NoSpacing"/>
        <w:numPr>
          <w:ilvl w:val="1"/>
          <w:numId w:val="2"/>
        </w:numPr>
        <w:rPr>
          <w:u w:val="single"/>
        </w:rPr>
      </w:pPr>
      <w:r>
        <w:t>In an amber vial or</w:t>
      </w:r>
    </w:p>
    <w:p w:rsidR="001D7BF6" w:rsidRPr="001D7BF6" w:rsidRDefault="001D7BF6" w:rsidP="001D7BF6">
      <w:pPr>
        <w:pStyle w:val="NoSpacing"/>
        <w:numPr>
          <w:ilvl w:val="1"/>
          <w:numId w:val="2"/>
        </w:numPr>
        <w:rPr>
          <w:u w:val="single"/>
        </w:rPr>
      </w:pPr>
      <w:r>
        <w:t>Transparent vial covered with tin foil or</w:t>
      </w:r>
    </w:p>
    <w:p w:rsidR="001D7BF6" w:rsidRPr="001D7BF6" w:rsidRDefault="0089721C" w:rsidP="001D7BF6">
      <w:pPr>
        <w:pStyle w:val="NoSpacing"/>
        <w:numPr>
          <w:ilvl w:val="1"/>
          <w:numId w:val="2"/>
        </w:numPr>
        <w:rPr>
          <w:u w:val="single"/>
        </w:rPr>
      </w:pPr>
      <w:r>
        <w:t>Transparent vial if most of the time stored i</w:t>
      </w:r>
      <w:r w:rsidR="001D7BF6">
        <w:t xml:space="preserve">n a cabinet/lock box protected from light. </w:t>
      </w:r>
    </w:p>
    <w:p w:rsidR="001D7BF6" w:rsidRPr="001D7BF6" w:rsidRDefault="001D7BF6" w:rsidP="001D7BF6">
      <w:pPr>
        <w:pStyle w:val="NoSpacing"/>
        <w:numPr>
          <w:ilvl w:val="0"/>
          <w:numId w:val="2"/>
        </w:numPr>
        <w:rPr>
          <w:u w:val="single"/>
        </w:rPr>
      </w:pPr>
      <w:r>
        <w:t>The vial needs to be labeled with:</w:t>
      </w:r>
    </w:p>
    <w:p w:rsidR="001D7BF6" w:rsidRPr="001D7BF6" w:rsidRDefault="001D7BF6" w:rsidP="001D7BF6">
      <w:pPr>
        <w:pStyle w:val="NoSpacing"/>
        <w:numPr>
          <w:ilvl w:val="1"/>
          <w:numId w:val="2"/>
        </w:numPr>
        <w:rPr>
          <w:u w:val="single"/>
        </w:rPr>
      </w:pPr>
      <w:r>
        <w:t>Drug name</w:t>
      </w:r>
    </w:p>
    <w:p w:rsidR="001D7BF6" w:rsidRPr="001D7BF6" w:rsidRDefault="001D7BF6" w:rsidP="001D7BF6">
      <w:pPr>
        <w:pStyle w:val="NoSpacing"/>
        <w:numPr>
          <w:ilvl w:val="1"/>
          <w:numId w:val="2"/>
        </w:numPr>
        <w:rPr>
          <w:u w:val="single"/>
        </w:rPr>
      </w:pPr>
      <w:r>
        <w:t xml:space="preserve">Strength </w:t>
      </w:r>
    </w:p>
    <w:p w:rsidR="001D7BF6" w:rsidRPr="0089721C" w:rsidRDefault="0089721C" w:rsidP="001D7BF6">
      <w:pPr>
        <w:pStyle w:val="NoSpacing"/>
        <w:numPr>
          <w:ilvl w:val="1"/>
          <w:numId w:val="2"/>
        </w:numPr>
        <w:rPr>
          <w:u w:val="single"/>
        </w:rPr>
      </w:pPr>
      <w:r>
        <w:t>Unique Controlled Substances Identifying Code found on the original bottle</w:t>
      </w:r>
    </w:p>
    <w:p w:rsidR="0089721C" w:rsidRPr="001D7BF6" w:rsidRDefault="0089721C" w:rsidP="001D7BF6">
      <w:pPr>
        <w:pStyle w:val="NoSpacing"/>
        <w:numPr>
          <w:ilvl w:val="1"/>
          <w:numId w:val="2"/>
        </w:numPr>
        <w:rPr>
          <w:u w:val="single"/>
        </w:rPr>
      </w:pPr>
      <w:r>
        <w:t>Date of Dilution</w:t>
      </w:r>
    </w:p>
    <w:p w:rsidR="001D7BF6" w:rsidRPr="007B00B9" w:rsidRDefault="001D7BF6" w:rsidP="001D7BF6">
      <w:pPr>
        <w:pStyle w:val="NoSpacing"/>
        <w:numPr>
          <w:ilvl w:val="1"/>
          <w:numId w:val="2"/>
        </w:numPr>
        <w:rPr>
          <w:u w:val="single"/>
        </w:rPr>
      </w:pPr>
      <w:r>
        <w:t xml:space="preserve">Expiration Date (original expiration date or </w:t>
      </w:r>
      <w:r w:rsidR="00FB4A84">
        <w:t>30</w:t>
      </w:r>
      <w:r>
        <w:t xml:space="preserve"> days after dilution or whichever comes first).</w:t>
      </w:r>
    </w:p>
    <w:p w:rsidR="007B00B9" w:rsidRPr="00226081" w:rsidRDefault="007B00B9" w:rsidP="007B00B9">
      <w:pPr>
        <w:pStyle w:val="NoSpacing"/>
        <w:rPr>
          <w:sz w:val="28"/>
          <w:szCs w:val="28"/>
          <w:u w:val="single"/>
        </w:rPr>
      </w:pPr>
      <w:r w:rsidRPr="00226081">
        <w:rPr>
          <w:b/>
          <w:sz w:val="24"/>
          <w:szCs w:val="24"/>
          <w:u w:val="single"/>
        </w:rPr>
        <w:lastRenderedPageBreak/>
        <w:t>Mouse</w:t>
      </w:r>
      <w:r w:rsidRPr="00226081">
        <w:rPr>
          <w:sz w:val="24"/>
          <w:szCs w:val="24"/>
          <w:u w:val="single"/>
        </w:rPr>
        <w:t xml:space="preserve"> Dose</w:t>
      </w:r>
      <w:r w:rsidRPr="00226081">
        <w:rPr>
          <w:sz w:val="28"/>
          <w:szCs w:val="28"/>
          <w:u w:val="single"/>
        </w:rPr>
        <w:t xml:space="preserve">: </w:t>
      </w:r>
    </w:p>
    <w:p w:rsidR="007B00B9" w:rsidRDefault="007B00B9" w:rsidP="007B00B9">
      <w:pPr>
        <w:pStyle w:val="NoSpacing"/>
        <w:numPr>
          <w:ilvl w:val="0"/>
          <w:numId w:val="3"/>
        </w:numPr>
      </w:pPr>
      <w:r>
        <w:t xml:space="preserve">0.05-0.2 mg/kg SC or IP </w:t>
      </w:r>
    </w:p>
    <w:p w:rsidR="00FA6E2C" w:rsidRDefault="00FA6E2C" w:rsidP="007B00B9">
      <w:pPr>
        <w:pStyle w:val="NoSpacing"/>
        <w:numPr>
          <w:ilvl w:val="0"/>
          <w:numId w:val="3"/>
        </w:numPr>
      </w:pPr>
      <w:r>
        <w:rPr>
          <w:u w:val="single"/>
        </w:rPr>
        <w:t xml:space="preserve">Frequency: </w:t>
      </w:r>
      <w:r>
        <w:tab/>
      </w:r>
    </w:p>
    <w:p w:rsidR="00FA6E2C" w:rsidRDefault="00FA6E2C" w:rsidP="00FA6E2C">
      <w:pPr>
        <w:pStyle w:val="NoSpacing"/>
        <w:numPr>
          <w:ilvl w:val="1"/>
          <w:numId w:val="3"/>
        </w:numPr>
      </w:pPr>
      <w:r>
        <w:t>1</w:t>
      </w:r>
      <w:r w:rsidRPr="00FA6E2C">
        <w:rPr>
          <w:vertAlign w:val="superscript"/>
        </w:rPr>
        <w:t>st</w:t>
      </w:r>
      <w:r>
        <w:t xml:space="preserve"> dose – at surgery (best before incision)</w:t>
      </w:r>
    </w:p>
    <w:p w:rsidR="00FA6E2C" w:rsidRDefault="00FA6E2C" w:rsidP="00FA6E2C">
      <w:pPr>
        <w:pStyle w:val="NoSpacing"/>
        <w:numPr>
          <w:ilvl w:val="1"/>
          <w:numId w:val="3"/>
        </w:numPr>
      </w:pPr>
      <w:r>
        <w:t>2</w:t>
      </w:r>
      <w:r w:rsidRPr="00FA6E2C">
        <w:rPr>
          <w:vertAlign w:val="superscript"/>
        </w:rPr>
        <w:t>nd</w:t>
      </w:r>
      <w:r>
        <w:t xml:space="preserve"> dose – 4-8 hours later</w:t>
      </w:r>
    </w:p>
    <w:p w:rsidR="00FA6E2C" w:rsidRDefault="00FA6E2C" w:rsidP="00FA6E2C">
      <w:pPr>
        <w:pStyle w:val="NoSpacing"/>
        <w:numPr>
          <w:ilvl w:val="1"/>
          <w:numId w:val="3"/>
        </w:numPr>
      </w:pPr>
      <w:r>
        <w:t>Subsequent doses (if needed) – every 8-12 hours</w:t>
      </w:r>
    </w:p>
    <w:p w:rsidR="007B00B9" w:rsidRDefault="00FA6E2C" w:rsidP="007B00B9">
      <w:pPr>
        <w:pStyle w:val="NoSpacing"/>
        <w:numPr>
          <w:ilvl w:val="0"/>
          <w:numId w:val="3"/>
        </w:numPr>
      </w:pPr>
      <w:r w:rsidRPr="00FA6E2C">
        <w:rPr>
          <w:u w:val="single"/>
        </w:rPr>
        <w:t>Dilution:</w:t>
      </w:r>
      <w:r w:rsidR="0061371D">
        <w:t xml:space="preserve"> 1/2</w:t>
      </w:r>
      <w:r>
        <w:t>0 dilution = 0.0</w:t>
      </w:r>
      <w:r w:rsidR="0061371D">
        <w:t>15</w:t>
      </w:r>
      <w:r>
        <w:t xml:space="preserve"> mg/ml concentration (e.g. 1ml buprenorphine + </w:t>
      </w:r>
      <w:r w:rsidR="0074426B">
        <w:t>1</w:t>
      </w:r>
      <w:r>
        <w:t>9 ml sterile saline or sterile water)</w:t>
      </w:r>
    </w:p>
    <w:p w:rsidR="00FA6E2C" w:rsidRPr="00FA6E2C" w:rsidRDefault="00FA6E2C" w:rsidP="007B00B9">
      <w:pPr>
        <w:pStyle w:val="NoSpacing"/>
        <w:numPr>
          <w:ilvl w:val="0"/>
          <w:numId w:val="3"/>
        </w:numPr>
      </w:pPr>
      <w:r>
        <w:rPr>
          <w:u w:val="single"/>
        </w:rPr>
        <w:t xml:space="preserve">Injection </w:t>
      </w:r>
      <w:r w:rsidR="00655AB4">
        <w:rPr>
          <w:u w:val="single"/>
        </w:rPr>
        <w:t>V</w:t>
      </w:r>
      <w:r>
        <w:rPr>
          <w:u w:val="single"/>
        </w:rPr>
        <w:t>o</w:t>
      </w:r>
      <w:r w:rsidR="0074426B">
        <w:rPr>
          <w:u w:val="single"/>
        </w:rPr>
        <w:t>lume of 1/2</w:t>
      </w:r>
      <w:r w:rsidR="00655AB4">
        <w:rPr>
          <w:u w:val="single"/>
        </w:rPr>
        <w:t>0 buprenorphine per Dose and Body W</w:t>
      </w:r>
      <w:r>
        <w:rPr>
          <w:u w:val="single"/>
        </w:rPr>
        <w:t>eight</w:t>
      </w:r>
    </w:p>
    <w:tbl>
      <w:tblPr>
        <w:tblStyle w:val="TableGrid"/>
        <w:tblW w:w="8630" w:type="dxa"/>
        <w:tblInd w:w="720" w:type="dxa"/>
        <w:tblLook w:val="04A0" w:firstRow="1" w:lastRow="0" w:firstColumn="1" w:lastColumn="0" w:noHBand="0" w:noVBand="1"/>
      </w:tblPr>
      <w:tblGrid>
        <w:gridCol w:w="2859"/>
        <w:gridCol w:w="2897"/>
        <w:gridCol w:w="2874"/>
      </w:tblGrid>
      <w:tr w:rsidR="0074426B" w:rsidTr="0074426B">
        <w:tc>
          <w:tcPr>
            <w:tcW w:w="2859" w:type="dxa"/>
          </w:tcPr>
          <w:p w:rsidR="0074426B" w:rsidRDefault="0074426B" w:rsidP="0074426B">
            <w:pPr>
              <w:pStyle w:val="NoSpacing"/>
              <w:jc w:val="center"/>
            </w:pPr>
            <w:r>
              <w:t xml:space="preserve">Mouse </w:t>
            </w:r>
            <w:r w:rsidRPr="00FA6E2C">
              <w:rPr>
                <w:b/>
              </w:rPr>
              <w:t>Body Weight</w:t>
            </w:r>
            <w:r>
              <w:t xml:space="preserve"> (in g)</w:t>
            </w:r>
          </w:p>
        </w:tc>
        <w:tc>
          <w:tcPr>
            <w:tcW w:w="2897" w:type="dxa"/>
          </w:tcPr>
          <w:p w:rsidR="0074426B" w:rsidRPr="00FA6E2C" w:rsidRDefault="0074426B" w:rsidP="0074426B">
            <w:pPr>
              <w:pStyle w:val="NoSpacing"/>
              <w:jc w:val="center"/>
              <w:rPr>
                <w:b/>
              </w:rPr>
            </w:pPr>
            <w:r w:rsidRPr="00FA6E2C">
              <w:rPr>
                <w:b/>
              </w:rPr>
              <w:t>0.1 mg/kg Dose</w:t>
            </w:r>
          </w:p>
          <w:p w:rsidR="0074426B" w:rsidRDefault="0074426B" w:rsidP="0074426B">
            <w:pPr>
              <w:pStyle w:val="NoSpacing"/>
              <w:jc w:val="center"/>
            </w:pPr>
            <w:r>
              <w:t>Injection Volume (ml)</w:t>
            </w:r>
          </w:p>
        </w:tc>
        <w:tc>
          <w:tcPr>
            <w:tcW w:w="2874" w:type="dxa"/>
          </w:tcPr>
          <w:p w:rsidR="0074426B" w:rsidRPr="00FA6E2C" w:rsidRDefault="0074426B" w:rsidP="0074426B">
            <w:pPr>
              <w:pStyle w:val="NoSpacing"/>
              <w:jc w:val="center"/>
              <w:rPr>
                <w:b/>
              </w:rPr>
            </w:pPr>
            <w:r>
              <w:rPr>
                <w:b/>
              </w:rPr>
              <w:t>0.2</w:t>
            </w:r>
            <w:r w:rsidRPr="00FA6E2C">
              <w:rPr>
                <w:b/>
              </w:rPr>
              <w:t xml:space="preserve"> mg/kg Dose</w:t>
            </w:r>
          </w:p>
          <w:p w:rsidR="0074426B" w:rsidRDefault="0074426B" w:rsidP="0074426B">
            <w:pPr>
              <w:pStyle w:val="NoSpacing"/>
              <w:jc w:val="center"/>
            </w:pPr>
            <w:r>
              <w:t>Injection Volume (ml)</w:t>
            </w:r>
          </w:p>
        </w:tc>
      </w:tr>
      <w:tr w:rsidR="0074426B" w:rsidTr="0074426B">
        <w:tc>
          <w:tcPr>
            <w:tcW w:w="2859" w:type="dxa"/>
          </w:tcPr>
          <w:p w:rsidR="0074426B" w:rsidRDefault="0074426B" w:rsidP="0074426B">
            <w:pPr>
              <w:pStyle w:val="NoSpacing"/>
              <w:jc w:val="center"/>
            </w:pPr>
            <w:r>
              <w:t>15 g</w:t>
            </w:r>
          </w:p>
        </w:tc>
        <w:tc>
          <w:tcPr>
            <w:tcW w:w="2897" w:type="dxa"/>
          </w:tcPr>
          <w:p w:rsidR="0074426B" w:rsidRDefault="0074426B" w:rsidP="0074426B">
            <w:pPr>
              <w:pStyle w:val="NoSpacing"/>
              <w:jc w:val="center"/>
            </w:pPr>
            <w:r>
              <w:t>0.10 ml</w:t>
            </w:r>
          </w:p>
        </w:tc>
        <w:tc>
          <w:tcPr>
            <w:tcW w:w="2874" w:type="dxa"/>
          </w:tcPr>
          <w:p w:rsidR="0074426B" w:rsidRDefault="0074426B" w:rsidP="0074426B">
            <w:pPr>
              <w:pStyle w:val="NoSpacing"/>
              <w:jc w:val="center"/>
            </w:pPr>
            <w:r>
              <w:t>0.20 ml</w:t>
            </w:r>
          </w:p>
        </w:tc>
      </w:tr>
      <w:tr w:rsidR="0074426B" w:rsidTr="0074426B">
        <w:trPr>
          <w:trHeight w:val="233"/>
        </w:trPr>
        <w:tc>
          <w:tcPr>
            <w:tcW w:w="2859" w:type="dxa"/>
          </w:tcPr>
          <w:p w:rsidR="0074426B" w:rsidRDefault="0074426B" w:rsidP="0074426B">
            <w:pPr>
              <w:pStyle w:val="NoSpacing"/>
              <w:jc w:val="center"/>
            </w:pPr>
            <w:r>
              <w:t>20 g</w:t>
            </w:r>
          </w:p>
        </w:tc>
        <w:tc>
          <w:tcPr>
            <w:tcW w:w="2897" w:type="dxa"/>
          </w:tcPr>
          <w:p w:rsidR="0074426B" w:rsidRDefault="0074426B" w:rsidP="0074426B">
            <w:pPr>
              <w:pStyle w:val="NoSpacing"/>
              <w:jc w:val="center"/>
            </w:pPr>
            <w:r>
              <w:t>0.15 ml</w:t>
            </w:r>
          </w:p>
        </w:tc>
        <w:tc>
          <w:tcPr>
            <w:tcW w:w="2874" w:type="dxa"/>
          </w:tcPr>
          <w:p w:rsidR="0074426B" w:rsidRDefault="0074426B" w:rsidP="0074426B">
            <w:pPr>
              <w:pStyle w:val="NoSpacing"/>
              <w:jc w:val="center"/>
            </w:pPr>
            <w:r>
              <w:t>0.25 ml</w:t>
            </w:r>
          </w:p>
        </w:tc>
      </w:tr>
      <w:tr w:rsidR="0074426B" w:rsidTr="0074426B">
        <w:tc>
          <w:tcPr>
            <w:tcW w:w="2859" w:type="dxa"/>
          </w:tcPr>
          <w:p w:rsidR="0074426B" w:rsidRDefault="0074426B" w:rsidP="0074426B">
            <w:pPr>
              <w:pStyle w:val="NoSpacing"/>
              <w:jc w:val="center"/>
            </w:pPr>
            <w:r>
              <w:t>25 g</w:t>
            </w:r>
          </w:p>
        </w:tc>
        <w:tc>
          <w:tcPr>
            <w:tcW w:w="2897" w:type="dxa"/>
          </w:tcPr>
          <w:p w:rsidR="0074426B" w:rsidRDefault="0074426B" w:rsidP="0074426B">
            <w:pPr>
              <w:pStyle w:val="NoSpacing"/>
              <w:jc w:val="center"/>
            </w:pPr>
            <w:r>
              <w:t>0.15 ml</w:t>
            </w:r>
          </w:p>
        </w:tc>
        <w:tc>
          <w:tcPr>
            <w:tcW w:w="2874" w:type="dxa"/>
          </w:tcPr>
          <w:p w:rsidR="0074426B" w:rsidRDefault="0074426B" w:rsidP="0074426B">
            <w:pPr>
              <w:pStyle w:val="NoSpacing"/>
              <w:jc w:val="center"/>
            </w:pPr>
            <w:r>
              <w:t>0.30 ml</w:t>
            </w:r>
          </w:p>
        </w:tc>
      </w:tr>
      <w:tr w:rsidR="0074426B" w:rsidTr="0074426B">
        <w:tc>
          <w:tcPr>
            <w:tcW w:w="2859" w:type="dxa"/>
          </w:tcPr>
          <w:p w:rsidR="0074426B" w:rsidRDefault="0074426B" w:rsidP="0074426B">
            <w:pPr>
              <w:pStyle w:val="NoSpacing"/>
              <w:jc w:val="center"/>
            </w:pPr>
            <w:r>
              <w:t>30 g</w:t>
            </w:r>
          </w:p>
        </w:tc>
        <w:tc>
          <w:tcPr>
            <w:tcW w:w="2897" w:type="dxa"/>
          </w:tcPr>
          <w:p w:rsidR="0074426B" w:rsidRDefault="0074426B" w:rsidP="0074426B">
            <w:pPr>
              <w:pStyle w:val="NoSpacing"/>
              <w:jc w:val="center"/>
            </w:pPr>
            <w:r>
              <w:t>0.20 ml</w:t>
            </w:r>
          </w:p>
        </w:tc>
        <w:tc>
          <w:tcPr>
            <w:tcW w:w="2874" w:type="dxa"/>
          </w:tcPr>
          <w:p w:rsidR="0074426B" w:rsidRDefault="0074426B" w:rsidP="0074426B">
            <w:pPr>
              <w:pStyle w:val="NoSpacing"/>
              <w:jc w:val="center"/>
            </w:pPr>
            <w:r>
              <w:t>0.40 ml</w:t>
            </w:r>
          </w:p>
        </w:tc>
      </w:tr>
      <w:tr w:rsidR="0074426B" w:rsidTr="0074426B">
        <w:tc>
          <w:tcPr>
            <w:tcW w:w="2859" w:type="dxa"/>
          </w:tcPr>
          <w:p w:rsidR="0074426B" w:rsidRDefault="0074426B" w:rsidP="0074426B">
            <w:pPr>
              <w:pStyle w:val="NoSpacing"/>
              <w:jc w:val="center"/>
            </w:pPr>
            <w:r>
              <w:t>35 g</w:t>
            </w:r>
          </w:p>
        </w:tc>
        <w:tc>
          <w:tcPr>
            <w:tcW w:w="2897" w:type="dxa"/>
          </w:tcPr>
          <w:p w:rsidR="0074426B" w:rsidRDefault="0074426B" w:rsidP="0074426B">
            <w:pPr>
              <w:pStyle w:val="NoSpacing"/>
              <w:jc w:val="center"/>
            </w:pPr>
            <w:r>
              <w:t>0.25 ml</w:t>
            </w:r>
          </w:p>
        </w:tc>
        <w:tc>
          <w:tcPr>
            <w:tcW w:w="2874" w:type="dxa"/>
          </w:tcPr>
          <w:p w:rsidR="0074426B" w:rsidRDefault="0074426B" w:rsidP="0074426B">
            <w:pPr>
              <w:pStyle w:val="NoSpacing"/>
              <w:jc w:val="center"/>
            </w:pPr>
            <w:r>
              <w:t>0.45 ml</w:t>
            </w:r>
          </w:p>
        </w:tc>
      </w:tr>
      <w:tr w:rsidR="0074426B" w:rsidTr="0074426B">
        <w:tc>
          <w:tcPr>
            <w:tcW w:w="2859" w:type="dxa"/>
          </w:tcPr>
          <w:p w:rsidR="0074426B" w:rsidRDefault="0074426B" w:rsidP="0074426B">
            <w:pPr>
              <w:pStyle w:val="NoSpacing"/>
              <w:jc w:val="center"/>
            </w:pPr>
            <w:r>
              <w:t>40 g</w:t>
            </w:r>
          </w:p>
        </w:tc>
        <w:tc>
          <w:tcPr>
            <w:tcW w:w="2897" w:type="dxa"/>
          </w:tcPr>
          <w:p w:rsidR="0074426B" w:rsidRDefault="0074426B" w:rsidP="0074426B">
            <w:pPr>
              <w:pStyle w:val="NoSpacing"/>
              <w:jc w:val="center"/>
            </w:pPr>
            <w:r>
              <w:t>0.25 ml</w:t>
            </w:r>
          </w:p>
        </w:tc>
        <w:tc>
          <w:tcPr>
            <w:tcW w:w="2874" w:type="dxa"/>
          </w:tcPr>
          <w:p w:rsidR="0074426B" w:rsidRDefault="0074426B" w:rsidP="0074426B">
            <w:pPr>
              <w:pStyle w:val="NoSpacing"/>
              <w:jc w:val="center"/>
            </w:pPr>
            <w:r>
              <w:t>0.50 ml</w:t>
            </w:r>
          </w:p>
        </w:tc>
      </w:tr>
    </w:tbl>
    <w:p w:rsidR="00FA6E2C" w:rsidRDefault="0074426B" w:rsidP="00FA6E2C">
      <w:pPr>
        <w:pStyle w:val="NoSpacing"/>
        <w:ind w:left="720"/>
      </w:pPr>
      <w:r>
        <w:t>Note: some of the numbers have been rounded to allow accuracy while drawing the drug into a syringe keeping the safety of the animal in mind</w:t>
      </w:r>
    </w:p>
    <w:p w:rsidR="007B00B9" w:rsidRDefault="007B00B9" w:rsidP="007B00B9">
      <w:pPr>
        <w:pStyle w:val="NoSpacing"/>
      </w:pPr>
    </w:p>
    <w:p w:rsidR="00D12BF0" w:rsidRDefault="00D12BF0" w:rsidP="007B00B9">
      <w:pPr>
        <w:pStyle w:val="NoSpacing"/>
        <w:rPr>
          <w:u w:val="single"/>
        </w:rPr>
      </w:pPr>
      <w:r w:rsidRPr="00D12BF0">
        <w:rPr>
          <w:b/>
          <w:u w:val="single"/>
        </w:rPr>
        <w:t>Rat</w:t>
      </w:r>
      <w:r w:rsidRPr="00D12BF0">
        <w:rPr>
          <w:u w:val="single"/>
        </w:rPr>
        <w:t xml:space="preserve"> Dose: </w:t>
      </w:r>
    </w:p>
    <w:p w:rsidR="00D12BF0" w:rsidRDefault="00D12BF0" w:rsidP="00D12BF0">
      <w:pPr>
        <w:pStyle w:val="NoSpacing"/>
        <w:numPr>
          <w:ilvl w:val="0"/>
          <w:numId w:val="4"/>
        </w:numPr>
      </w:pPr>
      <w:r>
        <w:t>0.01-0.05 mg/kg SC or IP</w:t>
      </w:r>
    </w:p>
    <w:p w:rsidR="00D12BF0" w:rsidRDefault="00D12BF0" w:rsidP="00D12BF0">
      <w:pPr>
        <w:pStyle w:val="NoSpacing"/>
        <w:numPr>
          <w:ilvl w:val="0"/>
          <w:numId w:val="4"/>
        </w:numPr>
      </w:pPr>
      <w:r>
        <w:rPr>
          <w:u w:val="single"/>
        </w:rPr>
        <w:t xml:space="preserve">Frequency: </w:t>
      </w:r>
      <w:r>
        <w:tab/>
      </w:r>
    </w:p>
    <w:p w:rsidR="00D12BF0" w:rsidRDefault="00D12BF0" w:rsidP="00D12BF0">
      <w:pPr>
        <w:pStyle w:val="NoSpacing"/>
        <w:numPr>
          <w:ilvl w:val="1"/>
          <w:numId w:val="4"/>
        </w:numPr>
      </w:pPr>
      <w:r>
        <w:t>1</w:t>
      </w:r>
      <w:r w:rsidRPr="00FA6E2C">
        <w:rPr>
          <w:vertAlign w:val="superscript"/>
        </w:rPr>
        <w:t>st</w:t>
      </w:r>
      <w:r>
        <w:t xml:space="preserve"> dose – at surgery (best before incision)</w:t>
      </w:r>
    </w:p>
    <w:p w:rsidR="00D12BF0" w:rsidRDefault="00D12BF0" w:rsidP="00D12BF0">
      <w:pPr>
        <w:pStyle w:val="NoSpacing"/>
        <w:numPr>
          <w:ilvl w:val="1"/>
          <w:numId w:val="4"/>
        </w:numPr>
      </w:pPr>
      <w:r>
        <w:t>2</w:t>
      </w:r>
      <w:r w:rsidRPr="00FA6E2C">
        <w:rPr>
          <w:vertAlign w:val="superscript"/>
        </w:rPr>
        <w:t>nd</w:t>
      </w:r>
      <w:r>
        <w:t xml:space="preserve"> dose – 4-8 hours later</w:t>
      </w:r>
    </w:p>
    <w:p w:rsidR="00D12BF0" w:rsidRDefault="00D12BF0" w:rsidP="00D12BF0">
      <w:pPr>
        <w:pStyle w:val="NoSpacing"/>
        <w:numPr>
          <w:ilvl w:val="1"/>
          <w:numId w:val="4"/>
        </w:numPr>
      </w:pPr>
      <w:r>
        <w:t>Subsequent doses (if needed) – every 8-12 hours</w:t>
      </w:r>
    </w:p>
    <w:p w:rsidR="00D12BF0" w:rsidRDefault="00487598" w:rsidP="00D12BF0">
      <w:pPr>
        <w:pStyle w:val="NoSpacing"/>
        <w:numPr>
          <w:ilvl w:val="0"/>
          <w:numId w:val="4"/>
        </w:numPr>
      </w:pPr>
      <w:r>
        <w:t>Dilution: 1/10 dilution = 0.03</w:t>
      </w:r>
      <w:r w:rsidR="00655AB4">
        <w:t xml:space="preserve"> mg/ml concentrat</w:t>
      </w:r>
      <w:r>
        <w:t>ion (e.g. 1 ml buprenorphine + 9</w:t>
      </w:r>
      <w:r w:rsidR="00655AB4">
        <w:t xml:space="preserve"> ml sterile saline or sterile water)</w:t>
      </w:r>
      <w:r w:rsidR="00E00AF2">
        <w:t xml:space="preserve"> </w:t>
      </w:r>
    </w:p>
    <w:p w:rsidR="00180EE8" w:rsidRDefault="00180EE8" w:rsidP="00D12BF0">
      <w:pPr>
        <w:pStyle w:val="NoSpacing"/>
        <w:numPr>
          <w:ilvl w:val="0"/>
          <w:numId w:val="4"/>
        </w:numPr>
      </w:pPr>
      <w:r>
        <w:t>As a rule of thumb administer at a rate of 0.</w:t>
      </w:r>
      <w:r w:rsidR="009B3CEA">
        <w:t>1ml/100g BW (e.g. 0.2</w:t>
      </w:r>
      <w:r>
        <w:t xml:space="preserve"> ml for a 200g rat), which is a dose of 0.03 mg/kg and appropriate in most post-surgical situations</w:t>
      </w:r>
    </w:p>
    <w:p w:rsidR="00655AB4" w:rsidRPr="00655AB4" w:rsidRDefault="00E00AF2" w:rsidP="00D12BF0">
      <w:pPr>
        <w:pStyle w:val="NoSpacing"/>
        <w:numPr>
          <w:ilvl w:val="0"/>
          <w:numId w:val="4"/>
        </w:numPr>
      </w:pPr>
      <w:r>
        <w:rPr>
          <w:u w:val="single"/>
        </w:rPr>
        <w:t xml:space="preserve">Injection Volume of </w:t>
      </w:r>
      <w:r w:rsidRPr="00E00AF2">
        <w:rPr>
          <w:b/>
          <w:u w:val="single"/>
        </w:rPr>
        <w:t>1/10</w:t>
      </w:r>
      <w:r w:rsidR="00655AB4" w:rsidRPr="00E00AF2">
        <w:rPr>
          <w:b/>
          <w:u w:val="single"/>
        </w:rPr>
        <w:t xml:space="preserve"> </w:t>
      </w:r>
      <w:r w:rsidR="00655AB4">
        <w:rPr>
          <w:u w:val="single"/>
        </w:rPr>
        <w:t>buprenorphine per Dose and Body Weight</w:t>
      </w:r>
    </w:p>
    <w:tbl>
      <w:tblPr>
        <w:tblStyle w:val="TableGrid"/>
        <w:tblW w:w="0" w:type="auto"/>
        <w:tblInd w:w="720" w:type="dxa"/>
        <w:tblLook w:val="04A0" w:firstRow="1" w:lastRow="0" w:firstColumn="1" w:lastColumn="0" w:noHBand="0" w:noVBand="1"/>
      </w:tblPr>
      <w:tblGrid>
        <w:gridCol w:w="1975"/>
        <w:gridCol w:w="2250"/>
        <w:gridCol w:w="2188"/>
        <w:gridCol w:w="2217"/>
      </w:tblGrid>
      <w:tr w:rsidR="00180EE8" w:rsidTr="00180EE8">
        <w:tc>
          <w:tcPr>
            <w:tcW w:w="1975" w:type="dxa"/>
          </w:tcPr>
          <w:p w:rsidR="00180EE8" w:rsidRDefault="00180EE8" w:rsidP="00CB15AA">
            <w:pPr>
              <w:pStyle w:val="NoSpacing"/>
              <w:jc w:val="center"/>
            </w:pPr>
            <w:r>
              <w:t xml:space="preserve">Rat </w:t>
            </w:r>
            <w:r w:rsidRPr="00FA6E2C">
              <w:rPr>
                <w:b/>
              </w:rPr>
              <w:t>Body Weight</w:t>
            </w:r>
            <w:r>
              <w:t xml:space="preserve"> </w:t>
            </w:r>
          </w:p>
          <w:p w:rsidR="00180EE8" w:rsidRDefault="00180EE8" w:rsidP="00CB15AA">
            <w:pPr>
              <w:pStyle w:val="NoSpacing"/>
              <w:jc w:val="center"/>
            </w:pPr>
            <w:r>
              <w:t>(in g)</w:t>
            </w:r>
          </w:p>
        </w:tc>
        <w:tc>
          <w:tcPr>
            <w:tcW w:w="2250" w:type="dxa"/>
          </w:tcPr>
          <w:p w:rsidR="00180EE8" w:rsidRPr="00FA6E2C" w:rsidRDefault="00180EE8" w:rsidP="00CB15AA">
            <w:pPr>
              <w:pStyle w:val="NoSpacing"/>
              <w:jc w:val="center"/>
              <w:rPr>
                <w:b/>
              </w:rPr>
            </w:pPr>
            <w:r>
              <w:rPr>
                <w:b/>
              </w:rPr>
              <w:t>0.01</w:t>
            </w:r>
            <w:r w:rsidRPr="00FA6E2C">
              <w:rPr>
                <w:b/>
              </w:rPr>
              <w:t>mg/kg Dose</w:t>
            </w:r>
          </w:p>
          <w:p w:rsidR="00180EE8" w:rsidRDefault="00180EE8" w:rsidP="00CB15AA">
            <w:pPr>
              <w:pStyle w:val="NoSpacing"/>
              <w:jc w:val="center"/>
            </w:pPr>
            <w:r>
              <w:t>Injection Volume (ml)</w:t>
            </w:r>
          </w:p>
        </w:tc>
        <w:tc>
          <w:tcPr>
            <w:tcW w:w="2188" w:type="dxa"/>
          </w:tcPr>
          <w:p w:rsidR="00180EE8" w:rsidRDefault="00180EE8" w:rsidP="00CB15AA">
            <w:pPr>
              <w:pStyle w:val="NoSpacing"/>
              <w:jc w:val="center"/>
              <w:rPr>
                <w:b/>
              </w:rPr>
            </w:pPr>
            <w:r>
              <w:rPr>
                <w:b/>
              </w:rPr>
              <w:t>0.03mg/kg Dose</w:t>
            </w:r>
          </w:p>
          <w:p w:rsidR="00180EE8" w:rsidRPr="00180EE8" w:rsidRDefault="00180EE8" w:rsidP="00CB15AA">
            <w:pPr>
              <w:pStyle w:val="NoSpacing"/>
              <w:jc w:val="center"/>
            </w:pPr>
            <w:r>
              <w:t>Injection Volume (ml)</w:t>
            </w:r>
          </w:p>
        </w:tc>
        <w:tc>
          <w:tcPr>
            <w:tcW w:w="2217" w:type="dxa"/>
          </w:tcPr>
          <w:p w:rsidR="00180EE8" w:rsidRPr="00FA6E2C" w:rsidRDefault="00180EE8" w:rsidP="00CB15AA">
            <w:pPr>
              <w:pStyle w:val="NoSpacing"/>
              <w:jc w:val="center"/>
              <w:rPr>
                <w:b/>
              </w:rPr>
            </w:pPr>
            <w:r w:rsidRPr="00FA6E2C">
              <w:rPr>
                <w:b/>
              </w:rPr>
              <w:t>0.</w:t>
            </w:r>
            <w:r>
              <w:rPr>
                <w:b/>
              </w:rPr>
              <w:t>05</w:t>
            </w:r>
            <w:r w:rsidRPr="00FA6E2C">
              <w:rPr>
                <w:b/>
              </w:rPr>
              <w:t xml:space="preserve"> mg/kg Dose</w:t>
            </w:r>
          </w:p>
          <w:p w:rsidR="00180EE8" w:rsidRDefault="00180EE8" w:rsidP="00CB15AA">
            <w:pPr>
              <w:pStyle w:val="NoSpacing"/>
              <w:jc w:val="center"/>
            </w:pPr>
            <w:r>
              <w:t>Injection Volume (ml)</w:t>
            </w:r>
          </w:p>
        </w:tc>
      </w:tr>
      <w:tr w:rsidR="00180EE8" w:rsidTr="00180EE8">
        <w:tc>
          <w:tcPr>
            <w:tcW w:w="1975" w:type="dxa"/>
          </w:tcPr>
          <w:p w:rsidR="00180EE8" w:rsidRDefault="00180EE8" w:rsidP="00CB15AA">
            <w:pPr>
              <w:pStyle w:val="NoSpacing"/>
              <w:jc w:val="center"/>
            </w:pPr>
            <w:r>
              <w:t>200 g</w:t>
            </w:r>
          </w:p>
        </w:tc>
        <w:tc>
          <w:tcPr>
            <w:tcW w:w="2250" w:type="dxa"/>
          </w:tcPr>
          <w:p w:rsidR="00180EE8" w:rsidRDefault="00E00AF2" w:rsidP="00E00AF2">
            <w:pPr>
              <w:pStyle w:val="NoSpacing"/>
              <w:jc w:val="center"/>
            </w:pPr>
            <w:r>
              <w:t>0.06 ml</w:t>
            </w:r>
          </w:p>
        </w:tc>
        <w:tc>
          <w:tcPr>
            <w:tcW w:w="2188" w:type="dxa"/>
          </w:tcPr>
          <w:p w:rsidR="00180EE8" w:rsidRDefault="00487598" w:rsidP="00CB15AA">
            <w:pPr>
              <w:pStyle w:val="NoSpacing"/>
              <w:jc w:val="center"/>
            </w:pPr>
            <w:r>
              <w:t>0.2</w:t>
            </w:r>
            <w:r w:rsidR="00180EE8">
              <w:t>0 ml</w:t>
            </w:r>
          </w:p>
        </w:tc>
        <w:tc>
          <w:tcPr>
            <w:tcW w:w="2217" w:type="dxa"/>
          </w:tcPr>
          <w:p w:rsidR="00180EE8" w:rsidRDefault="003C0B5E" w:rsidP="00E00AF2">
            <w:pPr>
              <w:pStyle w:val="NoSpacing"/>
              <w:jc w:val="center"/>
            </w:pPr>
            <w:r>
              <w:t>0.</w:t>
            </w:r>
            <w:r w:rsidR="00E00AF2">
              <w:t>30</w:t>
            </w:r>
            <w:r>
              <w:t xml:space="preserve"> ml</w:t>
            </w:r>
          </w:p>
        </w:tc>
      </w:tr>
      <w:tr w:rsidR="00180EE8" w:rsidTr="00180EE8">
        <w:tc>
          <w:tcPr>
            <w:tcW w:w="1975" w:type="dxa"/>
          </w:tcPr>
          <w:p w:rsidR="00180EE8" w:rsidRDefault="00180EE8" w:rsidP="00CB15AA">
            <w:pPr>
              <w:pStyle w:val="NoSpacing"/>
              <w:jc w:val="center"/>
            </w:pPr>
            <w:r>
              <w:t>250 g</w:t>
            </w:r>
          </w:p>
        </w:tc>
        <w:tc>
          <w:tcPr>
            <w:tcW w:w="2250" w:type="dxa"/>
          </w:tcPr>
          <w:p w:rsidR="00180EE8" w:rsidRDefault="009B3CEA" w:rsidP="009B3CEA">
            <w:pPr>
              <w:pStyle w:val="NoSpacing"/>
              <w:jc w:val="center"/>
            </w:pPr>
            <w:r>
              <w:t>0.08 ml</w:t>
            </w:r>
          </w:p>
        </w:tc>
        <w:tc>
          <w:tcPr>
            <w:tcW w:w="2188" w:type="dxa"/>
          </w:tcPr>
          <w:p w:rsidR="00180EE8" w:rsidRDefault="003C0B5E" w:rsidP="00CB15AA">
            <w:pPr>
              <w:pStyle w:val="NoSpacing"/>
              <w:jc w:val="center"/>
            </w:pPr>
            <w:r>
              <w:t>0.</w:t>
            </w:r>
            <w:r w:rsidR="00180EE8">
              <w:t>25 ml</w:t>
            </w:r>
          </w:p>
        </w:tc>
        <w:tc>
          <w:tcPr>
            <w:tcW w:w="2217" w:type="dxa"/>
          </w:tcPr>
          <w:p w:rsidR="00180EE8" w:rsidRDefault="003C0B5E" w:rsidP="00E00AF2">
            <w:pPr>
              <w:pStyle w:val="NoSpacing"/>
              <w:jc w:val="center"/>
            </w:pPr>
            <w:r>
              <w:t>0.</w:t>
            </w:r>
            <w:r w:rsidR="00E00AF2">
              <w:t>40</w:t>
            </w:r>
            <w:r>
              <w:t xml:space="preserve"> ml</w:t>
            </w:r>
          </w:p>
        </w:tc>
      </w:tr>
      <w:tr w:rsidR="00180EE8" w:rsidTr="00180EE8">
        <w:tc>
          <w:tcPr>
            <w:tcW w:w="1975" w:type="dxa"/>
          </w:tcPr>
          <w:p w:rsidR="00180EE8" w:rsidRDefault="00180EE8" w:rsidP="00CB15AA">
            <w:pPr>
              <w:pStyle w:val="NoSpacing"/>
              <w:jc w:val="center"/>
            </w:pPr>
            <w:r>
              <w:t>300 g</w:t>
            </w:r>
          </w:p>
        </w:tc>
        <w:tc>
          <w:tcPr>
            <w:tcW w:w="2250" w:type="dxa"/>
          </w:tcPr>
          <w:p w:rsidR="00180EE8" w:rsidRDefault="009B3CEA" w:rsidP="00CB15AA">
            <w:pPr>
              <w:pStyle w:val="NoSpacing"/>
              <w:jc w:val="center"/>
            </w:pPr>
            <w:r>
              <w:t>0.10 ml</w:t>
            </w:r>
          </w:p>
        </w:tc>
        <w:tc>
          <w:tcPr>
            <w:tcW w:w="2188" w:type="dxa"/>
          </w:tcPr>
          <w:p w:rsidR="00180EE8" w:rsidRDefault="00180EE8" w:rsidP="003C0B5E">
            <w:pPr>
              <w:pStyle w:val="NoSpacing"/>
              <w:jc w:val="center"/>
            </w:pPr>
            <w:r>
              <w:t>0.</w:t>
            </w:r>
            <w:r w:rsidR="003C0B5E">
              <w:t>30</w:t>
            </w:r>
            <w:r>
              <w:t xml:space="preserve"> ml</w:t>
            </w:r>
          </w:p>
        </w:tc>
        <w:tc>
          <w:tcPr>
            <w:tcW w:w="2217" w:type="dxa"/>
          </w:tcPr>
          <w:p w:rsidR="00180EE8" w:rsidRDefault="00E00AF2" w:rsidP="00CB15AA">
            <w:pPr>
              <w:pStyle w:val="NoSpacing"/>
              <w:jc w:val="center"/>
            </w:pPr>
            <w:r>
              <w:t>0.50 ml</w:t>
            </w:r>
          </w:p>
        </w:tc>
      </w:tr>
      <w:tr w:rsidR="00180EE8" w:rsidTr="00180EE8">
        <w:tc>
          <w:tcPr>
            <w:tcW w:w="1975" w:type="dxa"/>
          </w:tcPr>
          <w:p w:rsidR="00180EE8" w:rsidRDefault="00180EE8" w:rsidP="00CB15AA">
            <w:pPr>
              <w:pStyle w:val="NoSpacing"/>
              <w:jc w:val="center"/>
            </w:pPr>
            <w:r>
              <w:t>350 g</w:t>
            </w:r>
          </w:p>
        </w:tc>
        <w:tc>
          <w:tcPr>
            <w:tcW w:w="2250" w:type="dxa"/>
          </w:tcPr>
          <w:p w:rsidR="00180EE8" w:rsidRDefault="009B3CEA" w:rsidP="00CB15AA">
            <w:pPr>
              <w:pStyle w:val="NoSpacing"/>
              <w:jc w:val="center"/>
            </w:pPr>
            <w:r>
              <w:t>0.12 ml</w:t>
            </w:r>
          </w:p>
        </w:tc>
        <w:tc>
          <w:tcPr>
            <w:tcW w:w="2188" w:type="dxa"/>
          </w:tcPr>
          <w:p w:rsidR="00180EE8" w:rsidRDefault="00180EE8" w:rsidP="003C0B5E">
            <w:pPr>
              <w:pStyle w:val="NoSpacing"/>
              <w:jc w:val="center"/>
            </w:pPr>
            <w:r>
              <w:t>0.</w:t>
            </w:r>
            <w:r w:rsidR="003C0B5E">
              <w:t>35</w:t>
            </w:r>
            <w:r>
              <w:t xml:space="preserve"> ml</w:t>
            </w:r>
          </w:p>
        </w:tc>
        <w:tc>
          <w:tcPr>
            <w:tcW w:w="2217" w:type="dxa"/>
          </w:tcPr>
          <w:p w:rsidR="00180EE8" w:rsidRDefault="00E00AF2" w:rsidP="00CB15AA">
            <w:pPr>
              <w:pStyle w:val="NoSpacing"/>
              <w:jc w:val="center"/>
            </w:pPr>
            <w:r>
              <w:t>0.58 ml</w:t>
            </w:r>
          </w:p>
        </w:tc>
      </w:tr>
      <w:tr w:rsidR="00180EE8" w:rsidTr="00180EE8">
        <w:tc>
          <w:tcPr>
            <w:tcW w:w="1975" w:type="dxa"/>
          </w:tcPr>
          <w:p w:rsidR="00180EE8" w:rsidRDefault="00180EE8" w:rsidP="00180EE8">
            <w:pPr>
              <w:pStyle w:val="NoSpacing"/>
              <w:jc w:val="center"/>
            </w:pPr>
            <w:r>
              <w:t>400 g</w:t>
            </w:r>
          </w:p>
        </w:tc>
        <w:tc>
          <w:tcPr>
            <w:tcW w:w="2250" w:type="dxa"/>
          </w:tcPr>
          <w:p w:rsidR="00180EE8" w:rsidRDefault="009B3CEA" w:rsidP="00CB15AA">
            <w:pPr>
              <w:pStyle w:val="NoSpacing"/>
              <w:jc w:val="center"/>
            </w:pPr>
            <w:r>
              <w:t>0.13 ml</w:t>
            </w:r>
          </w:p>
        </w:tc>
        <w:tc>
          <w:tcPr>
            <w:tcW w:w="2188" w:type="dxa"/>
          </w:tcPr>
          <w:p w:rsidR="00180EE8" w:rsidRDefault="00487598" w:rsidP="003C0B5E">
            <w:pPr>
              <w:pStyle w:val="NoSpacing"/>
              <w:jc w:val="center"/>
            </w:pPr>
            <w:r>
              <w:t>0.</w:t>
            </w:r>
            <w:r w:rsidR="003C0B5E">
              <w:t>40</w:t>
            </w:r>
            <w:r>
              <w:t xml:space="preserve"> ml</w:t>
            </w:r>
          </w:p>
        </w:tc>
        <w:tc>
          <w:tcPr>
            <w:tcW w:w="2217" w:type="dxa"/>
          </w:tcPr>
          <w:p w:rsidR="00180EE8" w:rsidRDefault="00E00AF2" w:rsidP="00CB15AA">
            <w:pPr>
              <w:pStyle w:val="NoSpacing"/>
              <w:jc w:val="center"/>
            </w:pPr>
            <w:r>
              <w:t>0.65 ml</w:t>
            </w:r>
          </w:p>
        </w:tc>
      </w:tr>
      <w:tr w:rsidR="00180EE8" w:rsidTr="00180EE8">
        <w:tc>
          <w:tcPr>
            <w:tcW w:w="1975" w:type="dxa"/>
          </w:tcPr>
          <w:p w:rsidR="00180EE8" w:rsidRDefault="00180EE8" w:rsidP="00CB15AA">
            <w:pPr>
              <w:pStyle w:val="NoSpacing"/>
              <w:jc w:val="center"/>
            </w:pPr>
            <w:r>
              <w:t>450 g</w:t>
            </w:r>
          </w:p>
        </w:tc>
        <w:tc>
          <w:tcPr>
            <w:tcW w:w="2250" w:type="dxa"/>
          </w:tcPr>
          <w:p w:rsidR="00180EE8" w:rsidRDefault="009B3CEA" w:rsidP="00CB15AA">
            <w:pPr>
              <w:pStyle w:val="NoSpacing"/>
              <w:jc w:val="center"/>
            </w:pPr>
            <w:r>
              <w:t>0.15 ml</w:t>
            </w:r>
          </w:p>
        </w:tc>
        <w:tc>
          <w:tcPr>
            <w:tcW w:w="2188" w:type="dxa"/>
          </w:tcPr>
          <w:p w:rsidR="00180EE8" w:rsidRDefault="003C0B5E" w:rsidP="00CB15AA">
            <w:pPr>
              <w:pStyle w:val="NoSpacing"/>
              <w:jc w:val="center"/>
            </w:pPr>
            <w:r>
              <w:t xml:space="preserve">0.45 ml </w:t>
            </w:r>
          </w:p>
        </w:tc>
        <w:tc>
          <w:tcPr>
            <w:tcW w:w="2217" w:type="dxa"/>
          </w:tcPr>
          <w:p w:rsidR="00180EE8" w:rsidRDefault="00E00AF2" w:rsidP="00CB15AA">
            <w:pPr>
              <w:pStyle w:val="NoSpacing"/>
              <w:jc w:val="center"/>
            </w:pPr>
            <w:r>
              <w:t>0.75 ml</w:t>
            </w:r>
          </w:p>
        </w:tc>
      </w:tr>
    </w:tbl>
    <w:p w:rsidR="00655AB4" w:rsidRDefault="009B3CEA" w:rsidP="00655AB4">
      <w:pPr>
        <w:pStyle w:val="NoSpacing"/>
        <w:ind w:left="720"/>
      </w:pPr>
      <w:r>
        <w:t>Note: some of the numbers have been rounded to allow accuracy wh</w:t>
      </w:r>
      <w:r w:rsidR="00226081">
        <w:t>ile</w:t>
      </w:r>
      <w:r>
        <w:t xml:space="preserve"> drawing the drug into a syringe keeping the safety of the animal in mind </w:t>
      </w:r>
    </w:p>
    <w:p w:rsidR="0089721C" w:rsidRDefault="0089721C" w:rsidP="0089721C">
      <w:pPr>
        <w:pStyle w:val="NoSpacing"/>
      </w:pPr>
    </w:p>
    <w:p w:rsidR="0089721C" w:rsidRPr="0074426B" w:rsidRDefault="0089721C" w:rsidP="0089721C">
      <w:pPr>
        <w:pStyle w:val="NoSpacing"/>
        <w:rPr>
          <w:b/>
          <w:u w:val="single"/>
        </w:rPr>
      </w:pPr>
      <w:r w:rsidRPr="0089721C">
        <w:rPr>
          <w:b/>
          <w:u w:val="single"/>
        </w:rPr>
        <w:t>Buprenex SR</w:t>
      </w:r>
      <w:r w:rsidRPr="0089721C">
        <w:rPr>
          <w:b/>
          <w:u w:val="single"/>
          <w:vertAlign w:val="superscript"/>
        </w:rPr>
        <w:t>TM</w:t>
      </w:r>
      <w:r w:rsidR="0074426B">
        <w:rPr>
          <w:b/>
          <w:u w:val="single"/>
        </w:rPr>
        <w:t xml:space="preserve"> Lab</w:t>
      </w:r>
    </w:p>
    <w:p w:rsidR="00226081" w:rsidRDefault="00226081" w:rsidP="00226081">
      <w:pPr>
        <w:pStyle w:val="NoSpacing"/>
        <w:numPr>
          <w:ilvl w:val="0"/>
          <w:numId w:val="5"/>
        </w:numPr>
      </w:pPr>
      <w:r>
        <w:t>This is a slow release formulation designed to release buprenorphine over a 72-hour period.</w:t>
      </w:r>
    </w:p>
    <w:p w:rsidR="00226081" w:rsidRDefault="00226081" w:rsidP="00226081">
      <w:pPr>
        <w:pStyle w:val="NoSpacing"/>
        <w:numPr>
          <w:ilvl w:val="0"/>
          <w:numId w:val="5"/>
        </w:numPr>
      </w:pPr>
      <w:r>
        <w:t>It cannot be diluted!</w:t>
      </w:r>
      <w:r w:rsidR="000414B3">
        <w:t xml:space="preserve"> </w:t>
      </w:r>
    </w:p>
    <w:p w:rsidR="00226081" w:rsidRPr="00226081" w:rsidRDefault="00226081" w:rsidP="00226081">
      <w:pPr>
        <w:pStyle w:val="NoSpacing"/>
        <w:numPr>
          <w:ilvl w:val="0"/>
          <w:numId w:val="5"/>
        </w:numPr>
      </w:pPr>
      <w:r>
        <w:t xml:space="preserve">Dosages: </w:t>
      </w:r>
      <w:r w:rsidRPr="00226081">
        <w:rPr>
          <w:b/>
        </w:rPr>
        <w:t>Mouse</w:t>
      </w:r>
      <w:r>
        <w:t xml:space="preserve"> – 0.15-0.36 mg/kg SC once; </w:t>
      </w:r>
      <w:r>
        <w:rPr>
          <w:b/>
        </w:rPr>
        <w:t>Rat</w:t>
      </w:r>
      <w:r>
        <w:t xml:space="preserve"> -  0.6-1.2 mg/kg SC once </w:t>
      </w:r>
    </w:p>
    <w:sectPr w:rsidR="00226081" w:rsidRPr="002260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4C" w:rsidRDefault="005A024C" w:rsidP="00226081">
      <w:pPr>
        <w:spacing w:after="0" w:line="240" w:lineRule="auto"/>
      </w:pPr>
      <w:r>
        <w:separator/>
      </w:r>
    </w:p>
  </w:endnote>
  <w:endnote w:type="continuationSeparator" w:id="0">
    <w:p w:rsidR="005A024C" w:rsidRDefault="005A024C" w:rsidP="0022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81" w:rsidRDefault="00226081">
    <w:pPr>
      <w:pStyle w:val="Footer"/>
    </w:pPr>
    <w:r>
      <w:t xml:space="preserve">Page </w:t>
    </w:r>
    <w:r>
      <w:rPr>
        <w:b/>
        <w:bCs/>
      </w:rPr>
      <w:fldChar w:fldCharType="begin"/>
    </w:r>
    <w:r>
      <w:rPr>
        <w:b/>
        <w:bCs/>
      </w:rPr>
      <w:instrText xml:space="preserve"> PAGE  \* Arabic  \* MERGEFORMAT </w:instrText>
    </w:r>
    <w:r>
      <w:rPr>
        <w:b/>
        <w:bCs/>
      </w:rPr>
      <w:fldChar w:fldCharType="separate"/>
    </w:r>
    <w:r w:rsidR="00FB4A8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B4A84">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4C" w:rsidRDefault="005A024C" w:rsidP="00226081">
      <w:pPr>
        <w:spacing w:after="0" w:line="240" w:lineRule="auto"/>
      </w:pPr>
      <w:r>
        <w:separator/>
      </w:r>
    </w:p>
  </w:footnote>
  <w:footnote w:type="continuationSeparator" w:id="0">
    <w:p w:rsidR="005A024C" w:rsidRDefault="005A024C" w:rsidP="00226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2DA"/>
    <w:multiLevelType w:val="hybridMultilevel"/>
    <w:tmpl w:val="3738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23CC9"/>
    <w:multiLevelType w:val="hybridMultilevel"/>
    <w:tmpl w:val="438C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118B6"/>
    <w:multiLevelType w:val="hybridMultilevel"/>
    <w:tmpl w:val="7A020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F506F"/>
    <w:multiLevelType w:val="hybridMultilevel"/>
    <w:tmpl w:val="D2C4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23342"/>
    <w:multiLevelType w:val="hybridMultilevel"/>
    <w:tmpl w:val="C5C2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09"/>
    <w:rsid w:val="000414B3"/>
    <w:rsid w:val="00180EE8"/>
    <w:rsid w:val="0019165E"/>
    <w:rsid w:val="001D7BF6"/>
    <w:rsid w:val="00226081"/>
    <w:rsid w:val="00240717"/>
    <w:rsid w:val="002F69F3"/>
    <w:rsid w:val="003C0B5E"/>
    <w:rsid w:val="003F0DAD"/>
    <w:rsid w:val="00444309"/>
    <w:rsid w:val="00487598"/>
    <w:rsid w:val="005A024C"/>
    <w:rsid w:val="0061371D"/>
    <w:rsid w:val="00655AB4"/>
    <w:rsid w:val="0074426B"/>
    <w:rsid w:val="007B00B9"/>
    <w:rsid w:val="0089721C"/>
    <w:rsid w:val="009B3CEA"/>
    <w:rsid w:val="009E405C"/>
    <w:rsid w:val="009F40ED"/>
    <w:rsid w:val="00BC4DA5"/>
    <w:rsid w:val="00C303CE"/>
    <w:rsid w:val="00D12BF0"/>
    <w:rsid w:val="00E00AF2"/>
    <w:rsid w:val="00FA6E2C"/>
    <w:rsid w:val="00FB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77ED8-B486-4F9B-8EEF-D40B7037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65E"/>
    <w:pPr>
      <w:spacing w:after="0" w:line="240" w:lineRule="auto"/>
    </w:pPr>
  </w:style>
  <w:style w:type="table" w:styleId="TableGrid">
    <w:name w:val="Table Grid"/>
    <w:basedOn w:val="TableNormal"/>
    <w:uiPriority w:val="39"/>
    <w:rsid w:val="00FA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81"/>
  </w:style>
  <w:style w:type="paragraph" w:styleId="Footer">
    <w:name w:val="footer"/>
    <w:basedOn w:val="Normal"/>
    <w:link w:val="FooterChar"/>
    <w:uiPriority w:val="99"/>
    <w:unhideWhenUsed/>
    <w:rsid w:val="0022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Gografe</dc:creator>
  <cp:keywords/>
  <dc:description/>
  <cp:lastModifiedBy>Sylvia Gografe</cp:lastModifiedBy>
  <cp:revision>3</cp:revision>
  <dcterms:created xsi:type="dcterms:W3CDTF">2015-11-19T17:19:00Z</dcterms:created>
  <dcterms:modified xsi:type="dcterms:W3CDTF">2015-12-04T19:59:00Z</dcterms:modified>
</cp:coreProperties>
</file>