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E6" w:rsidRDefault="00E374D8" w:rsidP="003A5DEC">
      <w:pPr>
        <w:jc w:val="center"/>
        <w:rPr>
          <w:b/>
          <w:sz w:val="28"/>
          <w:szCs w:val="28"/>
          <w:u w:val="single"/>
        </w:rPr>
      </w:pPr>
      <w:r>
        <w:rPr>
          <w:b/>
          <w:sz w:val="28"/>
          <w:szCs w:val="28"/>
          <w:u w:val="single"/>
        </w:rPr>
        <w:t>Guidelines for Lidocaine and Bupivacaine for Line B</w:t>
      </w:r>
      <w:r w:rsidR="003A5DEC" w:rsidRPr="003A5DEC">
        <w:rPr>
          <w:b/>
          <w:sz w:val="28"/>
          <w:szCs w:val="28"/>
          <w:u w:val="single"/>
        </w:rPr>
        <w:t xml:space="preserve">lock </w:t>
      </w:r>
      <w:r>
        <w:rPr>
          <w:b/>
          <w:sz w:val="28"/>
          <w:szCs w:val="28"/>
          <w:u w:val="single"/>
        </w:rPr>
        <w:t>Anesthesia</w:t>
      </w:r>
      <w:r w:rsidR="003A5DEC" w:rsidRPr="003A5DEC">
        <w:rPr>
          <w:b/>
          <w:sz w:val="28"/>
          <w:szCs w:val="28"/>
          <w:u w:val="single"/>
        </w:rPr>
        <w:t xml:space="preserve"> in </w:t>
      </w:r>
      <w:r w:rsidR="0080217C">
        <w:rPr>
          <w:b/>
          <w:sz w:val="28"/>
          <w:szCs w:val="28"/>
          <w:u w:val="single"/>
        </w:rPr>
        <w:t xml:space="preserve">Mice and </w:t>
      </w:r>
      <w:r>
        <w:rPr>
          <w:b/>
          <w:sz w:val="28"/>
          <w:szCs w:val="28"/>
          <w:u w:val="single"/>
        </w:rPr>
        <w:t>R</w:t>
      </w:r>
      <w:r w:rsidR="003A5DEC" w:rsidRPr="003A5DEC">
        <w:rPr>
          <w:b/>
          <w:sz w:val="28"/>
          <w:szCs w:val="28"/>
          <w:u w:val="single"/>
        </w:rPr>
        <w:t>ats</w:t>
      </w:r>
    </w:p>
    <w:p w:rsidR="00E374D8" w:rsidRDefault="00E374D8" w:rsidP="003A5DEC">
      <w:pPr>
        <w:jc w:val="center"/>
        <w:rPr>
          <w:sz w:val="24"/>
          <w:szCs w:val="24"/>
        </w:rPr>
      </w:pPr>
      <w:r w:rsidRPr="00E374D8">
        <w:rPr>
          <w:sz w:val="24"/>
          <w:szCs w:val="24"/>
        </w:rPr>
        <w:t xml:space="preserve">Reviewed and </w:t>
      </w:r>
      <w:r>
        <w:rPr>
          <w:sz w:val="24"/>
          <w:szCs w:val="24"/>
        </w:rPr>
        <w:t>Approved by FAU IACUC</w:t>
      </w:r>
    </w:p>
    <w:p w:rsidR="00E374D8" w:rsidRDefault="000F6B7F" w:rsidP="003502F0">
      <w:pPr>
        <w:ind w:firstLine="360"/>
        <w:rPr>
          <w:sz w:val="24"/>
          <w:szCs w:val="24"/>
        </w:rPr>
      </w:pPr>
      <w:r>
        <w:rPr>
          <w:sz w:val="24"/>
          <w:szCs w:val="24"/>
        </w:rPr>
        <w:t>Effective Date:   24 March 2016</w:t>
      </w:r>
      <w:r w:rsidR="0080217C">
        <w:rPr>
          <w:sz w:val="24"/>
          <w:szCs w:val="24"/>
        </w:rPr>
        <w:tab/>
      </w:r>
      <w:r w:rsidR="0080217C">
        <w:rPr>
          <w:sz w:val="24"/>
          <w:szCs w:val="24"/>
        </w:rPr>
        <w:tab/>
        <w:t xml:space="preserve">            </w:t>
      </w:r>
      <w:r w:rsidR="00E374D8">
        <w:rPr>
          <w:sz w:val="24"/>
          <w:szCs w:val="24"/>
        </w:rPr>
        <w:t xml:space="preserve">Last Reviewed/Revised:   </w:t>
      </w:r>
      <w:r w:rsidR="0080217C">
        <w:rPr>
          <w:sz w:val="24"/>
          <w:szCs w:val="24"/>
        </w:rPr>
        <w:t>01 September 2016</w:t>
      </w:r>
    </w:p>
    <w:p w:rsidR="005F5D79" w:rsidRDefault="005F5D79" w:rsidP="003502F0">
      <w:pPr>
        <w:ind w:firstLine="360"/>
        <w:rPr>
          <w:sz w:val="24"/>
          <w:szCs w:val="24"/>
        </w:rPr>
      </w:pPr>
    </w:p>
    <w:p w:rsidR="00E374D8" w:rsidRDefault="00E374D8" w:rsidP="00E0308F">
      <w:pPr>
        <w:pStyle w:val="NoSpacing"/>
        <w:numPr>
          <w:ilvl w:val="0"/>
          <w:numId w:val="1"/>
        </w:numPr>
      </w:pPr>
      <w:r w:rsidRPr="00D51F10">
        <w:rPr>
          <w:b/>
        </w:rPr>
        <w:t>Lidocaine</w:t>
      </w:r>
      <w:r w:rsidR="00D51F10">
        <w:t xml:space="preserve"> (Xylocaine)</w:t>
      </w:r>
      <w:r>
        <w:t xml:space="preserve"> and </w:t>
      </w:r>
      <w:r w:rsidRPr="00D51F10">
        <w:rPr>
          <w:b/>
        </w:rPr>
        <w:t>Bupivacaine</w:t>
      </w:r>
      <w:r>
        <w:t xml:space="preserve"> (</w:t>
      </w:r>
      <w:r w:rsidR="00D51F10">
        <w:t xml:space="preserve">Marcaine; </w:t>
      </w:r>
      <w:proofErr w:type="spellStart"/>
      <w:r w:rsidR="00D51F10">
        <w:t>Sensorcaine</w:t>
      </w:r>
      <w:proofErr w:type="spellEnd"/>
      <w:r w:rsidR="00D51F10">
        <w:t>)</w:t>
      </w:r>
      <w:r>
        <w:t xml:space="preserve"> are topical anesthetics that can be used alone or in combination. </w:t>
      </w:r>
    </w:p>
    <w:p w:rsidR="00E374D8" w:rsidRDefault="00E374D8" w:rsidP="00E0308F">
      <w:pPr>
        <w:pStyle w:val="NoSpacing"/>
        <w:numPr>
          <w:ilvl w:val="0"/>
          <w:numId w:val="1"/>
        </w:numPr>
      </w:pPr>
      <w:r>
        <w:t>Administration</w:t>
      </w:r>
      <w:r w:rsidR="00E0308F">
        <w:t xml:space="preserve"> for local ane</w:t>
      </w:r>
      <w:r>
        <w:t>sthesia in form of a line block, i.e. injection along the imaginary</w:t>
      </w:r>
      <w:r w:rsidR="00E0308F">
        <w:t xml:space="preserve"> surgical incision site</w:t>
      </w:r>
      <w:r>
        <w:t xml:space="preserve"> before cutting,</w:t>
      </w:r>
      <w:r w:rsidR="00E0308F">
        <w:t xml:space="preserve"> adds to pre-emptive analgesia</w:t>
      </w:r>
      <w:r>
        <w:t>.</w:t>
      </w:r>
    </w:p>
    <w:p w:rsidR="00E374D8" w:rsidRDefault="00E374D8" w:rsidP="00E0308F">
      <w:pPr>
        <w:pStyle w:val="NoSpacing"/>
        <w:numPr>
          <w:ilvl w:val="0"/>
          <w:numId w:val="1"/>
        </w:numPr>
      </w:pPr>
      <w:r>
        <w:t xml:space="preserve">Lidocaine has a fast onset (within 5 min) with shorter duration (up to </w:t>
      </w:r>
      <w:r w:rsidR="0080217C">
        <w:t>1-</w:t>
      </w:r>
      <w:r>
        <w:t xml:space="preserve">2 hours) while Bupivacaine </w:t>
      </w:r>
      <w:r w:rsidR="00D51F10">
        <w:t xml:space="preserve">has a longer onset (about 20 min) with longer duration (up to </w:t>
      </w:r>
      <w:r w:rsidR="0080217C">
        <w:t>4-</w:t>
      </w:r>
      <w:r w:rsidR="00D51F10">
        <w:t>6 hours) in most species.</w:t>
      </w:r>
    </w:p>
    <w:p w:rsidR="00E0308F" w:rsidRDefault="00E0308F" w:rsidP="00E0308F">
      <w:pPr>
        <w:pStyle w:val="NoSpacing"/>
        <w:numPr>
          <w:ilvl w:val="0"/>
          <w:numId w:val="1"/>
        </w:numPr>
      </w:pPr>
      <w:r>
        <w:t>The combination of both drugs p</w:t>
      </w:r>
      <w:r w:rsidR="002863CC">
        <w:t>rovides</w:t>
      </w:r>
      <w:r>
        <w:t xml:space="preserve"> the advantage of fast onset (i.e. Lidocaine within 5 min) and longer lasting numbing of the incision site (i.e. Bupivacaine about </w:t>
      </w:r>
      <w:r w:rsidR="0080217C">
        <w:t>4-</w:t>
      </w:r>
      <w:r>
        <w:t>6 hours)</w:t>
      </w:r>
      <w:r w:rsidR="00D51F10">
        <w:t>.</w:t>
      </w:r>
    </w:p>
    <w:p w:rsidR="00E0308F" w:rsidRDefault="00E0308F" w:rsidP="00E0308F">
      <w:pPr>
        <w:pStyle w:val="NoSpacing"/>
        <w:numPr>
          <w:ilvl w:val="0"/>
          <w:numId w:val="1"/>
        </w:numPr>
      </w:pPr>
      <w:r>
        <w:t>I</w:t>
      </w:r>
      <w:r w:rsidR="00A33359">
        <w:t>t is i</w:t>
      </w:r>
      <w:bookmarkStart w:id="0" w:name="_GoBack"/>
      <w:bookmarkEnd w:id="0"/>
      <w:r w:rsidR="00A33359">
        <w:t>mportant</w:t>
      </w:r>
      <w:r>
        <w:t xml:space="preserve"> to be aware of the concentration of each of the drugs </w:t>
      </w:r>
      <w:r w:rsidR="002863CC">
        <w:t>as these drugs could be deleterious at concentrations higher than recommended</w:t>
      </w:r>
    </w:p>
    <w:p w:rsidR="00E0308F" w:rsidRDefault="00E0308F" w:rsidP="00E0308F">
      <w:pPr>
        <w:pStyle w:val="NoSpacing"/>
        <w:numPr>
          <w:ilvl w:val="1"/>
          <w:numId w:val="1"/>
        </w:numPr>
      </w:pPr>
      <w:r>
        <w:t>Lidocaine commonly available in 1% (i.e. 10mg/ml) or 2% (i.e. 20mg/ml)</w:t>
      </w:r>
    </w:p>
    <w:p w:rsidR="00E0308F" w:rsidRDefault="00E0308F" w:rsidP="00E0308F">
      <w:pPr>
        <w:pStyle w:val="NoSpacing"/>
        <w:numPr>
          <w:ilvl w:val="1"/>
          <w:numId w:val="1"/>
        </w:numPr>
      </w:pPr>
      <w:r>
        <w:t xml:space="preserve">Bupivacaine </w:t>
      </w:r>
      <w:r w:rsidR="009B2545">
        <w:t>commonly</w:t>
      </w:r>
      <w:r>
        <w:t xml:space="preserve"> available in 0.25% (i.e. 2.5mg/ml) and 0.5% (i.e. 5mg/ml)</w:t>
      </w:r>
    </w:p>
    <w:p w:rsidR="00012D65" w:rsidRDefault="009B2545" w:rsidP="00E0308F">
      <w:pPr>
        <w:pStyle w:val="NoSpacing"/>
        <w:numPr>
          <w:ilvl w:val="0"/>
          <w:numId w:val="1"/>
        </w:numPr>
      </w:pPr>
      <w:r>
        <w:t>Due to small amounts necessary for r</w:t>
      </w:r>
      <w:r w:rsidR="0080217C">
        <w:t>odents</w:t>
      </w:r>
      <w:r>
        <w:t xml:space="preserve"> it</w:t>
      </w:r>
      <w:r w:rsidR="00D51F10">
        <w:t xml:space="preserve"> might be necessary</w:t>
      </w:r>
      <w:r>
        <w:t xml:space="preserve"> to dilute the drug mixture with sterile saline to achieve a large enough volume allowing to infiltrate the entire length of the intended incision to be made.</w:t>
      </w:r>
      <w:r w:rsidR="008E026F">
        <w:t xml:space="preserve"> </w:t>
      </w:r>
      <w:r w:rsidR="00D51F10">
        <w:t>The total volume depends on the weight of the animal and the length of the incision, i.e.</w:t>
      </w:r>
      <w:r w:rsidR="008E026F">
        <w:t xml:space="preserve"> if a longer incision needs to be done a larger volume might be necessary. This can be achieved by adding more saline. </w:t>
      </w:r>
      <w:r w:rsidR="00012D65">
        <w:t>However</w:t>
      </w:r>
      <w:r w:rsidR="0080217C">
        <w:t xml:space="preserve">, </w:t>
      </w:r>
      <w:r w:rsidR="00012D65">
        <w:t xml:space="preserve">if </w:t>
      </w:r>
      <w:r w:rsidR="0080217C">
        <w:t xml:space="preserve">the mixture </w:t>
      </w:r>
      <w:r w:rsidR="00012D65">
        <w:t>is</w:t>
      </w:r>
      <w:r w:rsidR="0080217C">
        <w:t xml:space="preserve"> diluted with more than an equal volume of </w:t>
      </w:r>
      <w:r w:rsidR="00012D65">
        <w:t>sterile saline</w:t>
      </w:r>
      <w:r w:rsidR="0080217C">
        <w:t xml:space="preserve"> the duration of the local anesthesia might be reduced.</w:t>
      </w:r>
    </w:p>
    <w:p w:rsidR="009B2545" w:rsidRDefault="002863CC" w:rsidP="00E0308F">
      <w:pPr>
        <w:pStyle w:val="NoSpacing"/>
        <w:numPr>
          <w:ilvl w:val="0"/>
          <w:numId w:val="1"/>
        </w:numPr>
      </w:pPr>
      <w:r w:rsidRPr="002863CC">
        <w:t>If Lidocaine and Bupivacaine are combined a 1:1 mixture is created</w:t>
      </w:r>
      <w:r>
        <w:t>.</w:t>
      </w:r>
      <w:r w:rsidRPr="002863CC">
        <w:t xml:space="preserve"> </w:t>
      </w:r>
      <w:r w:rsidR="009B2545">
        <w:t xml:space="preserve">Both drugs and the saline should be drawn into one syringe and mixed within the syringe just </w:t>
      </w:r>
      <w:r w:rsidR="008E026F">
        <w:t>prior</w:t>
      </w:r>
      <w:r w:rsidR="009B2545">
        <w:t xml:space="preserve"> injection. The mixing can be done by moving the syringe plunger back and forth in a large enough syringe (e.g. 1ml total volume of mixture in a 3ml syringe).</w:t>
      </w:r>
      <w:r w:rsidR="008E026F">
        <w:t xml:space="preserve"> Discard any unused mixed drug by the end of the day.</w:t>
      </w:r>
    </w:p>
    <w:p w:rsidR="009B2545" w:rsidRDefault="009B2545" w:rsidP="00E0308F">
      <w:pPr>
        <w:pStyle w:val="NoSpacing"/>
        <w:numPr>
          <w:ilvl w:val="0"/>
          <w:numId w:val="1"/>
        </w:numPr>
      </w:pPr>
      <w:r>
        <w:t>The injection is done along the imaginary incision line starting on the most distal point of cutting and injecting slowly but steady while moving the needle proximally toward yourself along the entire length of the future incision.</w:t>
      </w:r>
    </w:p>
    <w:p w:rsidR="009B2545" w:rsidRDefault="009B2545" w:rsidP="00E0308F">
      <w:pPr>
        <w:pStyle w:val="NoSpacing"/>
        <w:numPr>
          <w:ilvl w:val="0"/>
          <w:numId w:val="1"/>
        </w:numPr>
      </w:pPr>
      <w:r>
        <w:t>Allow the drug to become effective (</w:t>
      </w:r>
      <w:r w:rsidR="00D51F10">
        <w:t>see above onset times for each drug</w:t>
      </w:r>
      <w:r>
        <w:t>) before performing the incision.</w:t>
      </w:r>
    </w:p>
    <w:p w:rsidR="009B2545" w:rsidRDefault="009B2545" w:rsidP="008E026F">
      <w:pPr>
        <w:pStyle w:val="NoSpacing"/>
        <w:numPr>
          <w:ilvl w:val="0"/>
          <w:numId w:val="1"/>
        </w:numPr>
      </w:pPr>
      <w:r>
        <w:t>The below table</w:t>
      </w:r>
      <w:r w:rsidR="000D1A6C">
        <w:t>s</w:t>
      </w:r>
      <w:r>
        <w:t xml:space="preserve"> contains the volumes per weight to be injected using Lidocaine at a </w:t>
      </w:r>
      <w:proofErr w:type="gramStart"/>
      <w:r>
        <w:t>concentration</w:t>
      </w:r>
      <w:proofErr w:type="gramEnd"/>
      <w:r>
        <w:t xml:space="preserve"> of 2% and Bupivacaine at a concentration of 0.5%</w:t>
      </w:r>
      <w:r w:rsidR="000D1A6C">
        <w:t xml:space="preserve"> for rats and 1% Lidocaine and 0.</w:t>
      </w:r>
      <w:r w:rsidR="00C02953">
        <w:t>2</w:t>
      </w:r>
      <w:r w:rsidR="000D1A6C">
        <w:t>5% Bupivacaine for mice</w:t>
      </w:r>
      <w:r>
        <w:t>.</w:t>
      </w:r>
      <w:r w:rsidR="008E026F">
        <w:t xml:space="preserve"> If different concentrations of the drugs are used the volume needs to be adjusted accordingly. </w:t>
      </w:r>
      <w:r w:rsidR="00012D65">
        <w:t xml:space="preserve">Due to the small volume needed, esp. in mice, it is advisable to use a 0.5ml insulin syringe. </w:t>
      </w:r>
    </w:p>
    <w:p w:rsidR="008E026F" w:rsidRDefault="008E026F" w:rsidP="008E026F">
      <w:pPr>
        <w:pStyle w:val="NoSpacing"/>
        <w:numPr>
          <w:ilvl w:val="0"/>
          <w:numId w:val="1"/>
        </w:numPr>
      </w:pPr>
      <w:r>
        <w:t xml:space="preserve">If the weight of the animal is in between two of the listed weights use the dosage for the nearest lower weight. </w:t>
      </w:r>
    </w:p>
    <w:p w:rsidR="003502F0" w:rsidRDefault="003502F0" w:rsidP="008E026F">
      <w:pPr>
        <w:pStyle w:val="NoSpacing"/>
        <w:numPr>
          <w:ilvl w:val="0"/>
          <w:numId w:val="1"/>
        </w:numPr>
      </w:pPr>
      <w:r>
        <w:t xml:space="preserve">If using only one of the two drugs use only the amount listed per drug. </w:t>
      </w:r>
    </w:p>
    <w:p w:rsidR="0080217C" w:rsidRDefault="0080217C" w:rsidP="0080217C">
      <w:pPr>
        <w:pStyle w:val="NoSpacing"/>
        <w:numPr>
          <w:ilvl w:val="0"/>
          <w:numId w:val="1"/>
        </w:numPr>
      </w:pPr>
      <w:r>
        <w:t xml:space="preserve">Dosages </w:t>
      </w:r>
      <w:r w:rsidR="005F5D79">
        <w:t>for rodents</w:t>
      </w:r>
      <w:r>
        <w:t xml:space="preserve"> are:</w:t>
      </w:r>
    </w:p>
    <w:p w:rsidR="0080217C" w:rsidRDefault="0080217C" w:rsidP="00DB5F33">
      <w:pPr>
        <w:pStyle w:val="NoSpacing"/>
        <w:numPr>
          <w:ilvl w:val="1"/>
          <w:numId w:val="1"/>
        </w:numPr>
      </w:pPr>
      <w:r w:rsidRPr="005F5D79">
        <w:rPr>
          <w:b/>
        </w:rPr>
        <w:t>Lidocaine</w:t>
      </w:r>
      <w:r>
        <w:t xml:space="preserve"> up to 10mg/kg</w:t>
      </w:r>
      <w:r w:rsidR="005F5D79">
        <w:t xml:space="preserve">       and     b. </w:t>
      </w:r>
      <w:r w:rsidRPr="005F5D79">
        <w:rPr>
          <w:b/>
        </w:rPr>
        <w:t>Bupivacaine</w:t>
      </w:r>
      <w:r>
        <w:t xml:space="preserve"> up to 5mg/kg.</w:t>
      </w:r>
    </w:p>
    <w:p w:rsidR="003502F0" w:rsidRDefault="003502F0" w:rsidP="003502F0">
      <w:pPr>
        <w:pStyle w:val="NoSpacing"/>
      </w:pPr>
    </w:p>
    <w:p w:rsidR="003502F0" w:rsidRPr="005F5D79" w:rsidRDefault="005F5D79" w:rsidP="005F5D79">
      <w:pPr>
        <w:pStyle w:val="NoSpacing"/>
        <w:jc w:val="center"/>
        <w:rPr>
          <w:b/>
          <w:sz w:val="28"/>
          <w:szCs w:val="28"/>
        </w:rPr>
      </w:pPr>
      <w:r>
        <w:rPr>
          <w:b/>
          <w:sz w:val="28"/>
          <w:szCs w:val="28"/>
          <w:u w:val="single"/>
        </w:rPr>
        <w:t xml:space="preserve">RAT </w:t>
      </w:r>
    </w:p>
    <w:p w:rsidR="008E026F" w:rsidRDefault="008E026F" w:rsidP="005F5D79">
      <w:pPr>
        <w:pStyle w:val="NoSpacing"/>
        <w:ind w:left="720"/>
        <w:jc w:val="center"/>
      </w:pPr>
    </w:p>
    <w:p w:rsidR="008E026F" w:rsidRPr="00E0308F" w:rsidRDefault="005F5D79" w:rsidP="008E026F">
      <w:pPr>
        <w:pStyle w:val="NoSpacing"/>
        <w:ind w:left="720"/>
      </w:pPr>
      <w:r>
        <w:t xml:space="preserve"> </w:t>
      </w:r>
    </w:p>
    <w:tbl>
      <w:tblPr>
        <w:tblStyle w:val="TableGrid"/>
        <w:tblW w:w="0" w:type="auto"/>
        <w:jc w:val="center"/>
        <w:tblLook w:val="04A0" w:firstRow="1" w:lastRow="0" w:firstColumn="1" w:lastColumn="0" w:noHBand="0" w:noVBand="1"/>
      </w:tblPr>
      <w:tblGrid>
        <w:gridCol w:w="2340"/>
        <w:gridCol w:w="2430"/>
        <w:gridCol w:w="2340"/>
      </w:tblGrid>
      <w:tr w:rsidR="00D51F10" w:rsidTr="005F5D79">
        <w:trPr>
          <w:jc w:val="center"/>
        </w:trPr>
        <w:tc>
          <w:tcPr>
            <w:tcW w:w="2340" w:type="dxa"/>
          </w:tcPr>
          <w:p w:rsidR="00D51F10" w:rsidRPr="003A5DEC" w:rsidRDefault="00D51F10" w:rsidP="003A5DEC">
            <w:pPr>
              <w:jc w:val="center"/>
              <w:rPr>
                <w:b/>
                <w:sz w:val="24"/>
                <w:szCs w:val="24"/>
              </w:rPr>
            </w:pPr>
            <w:r>
              <w:rPr>
                <w:b/>
                <w:sz w:val="24"/>
                <w:szCs w:val="24"/>
              </w:rPr>
              <w:t>Body</w:t>
            </w:r>
            <w:r w:rsidRPr="003A5DEC">
              <w:rPr>
                <w:b/>
                <w:sz w:val="24"/>
                <w:szCs w:val="24"/>
              </w:rPr>
              <w:t xml:space="preserve"> Weight in g</w:t>
            </w:r>
            <w:r>
              <w:rPr>
                <w:b/>
                <w:sz w:val="24"/>
                <w:szCs w:val="24"/>
              </w:rPr>
              <w:t xml:space="preserve"> (rat)</w:t>
            </w:r>
          </w:p>
        </w:tc>
        <w:tc>
          <w:tcPr>
            <w:tcW w:w="2430" w:type="dxa"/>
          </w:tcPr>
          <w:p w:rsidR="00D51F10" w:rsidRPr="003A5DEC" w:rsidRDefault="00D51F10" w:rsidP="003A5DEC">
            <w:pPr>
              <w:jc w:val="center"/>
              <w:rPr>
                <w:b/>
                <w:sz w:val="24"/>
                <w:szCs w:val="24"/>
              </w:rPr>
            </w:pPr>
            <w:r w:rsidRPr="00C02953">
              <w:rPr>
                <w:b/>
                <w:sz w:val="28"/>
                <w:szCs w:val="28"/>
              </w:rPr>
              <w:t xml:space="preserve">2% </w:t>
            </w:r>
            <w:r w:rsidRPr="003A5DEC">
              <w:rPr>
                <w:b/>
                <w:sz w:val="24"/>
                <w:szCs w:val="24"/>
              </w:rPr>
              <w:t>Lidocain</w:t>
            </w:r>
            <w:r>
              <w:rPr>
                <w:b/>
                <w:sz w:val="24"/>
                <w:szCs w:val="24"/>
              </w:rPr>
              <w:t>e in ml</w:t>
            </w:r>
          </w:p>
        </w:tc>
        <w:tc>
          <w:tcPr>
            <w:tcW w:w="2340" w:type="dxa"/>
          </w:tcPr>
          <w:p w:rsidR="00D51F10" w:rsidRPr="003A5DEC" w:rsidRDefault="00D51F10" w:rsidP="003A5DEC">
            <w:pPr>
              <w:jc w:val="center"/>
              <w:rPr>
                <w:b/>
                <w:sz w:val="24"/>
                <w:szCs w:val="24"/>
              </w:rPr>
            </w:pPr>
            <w:r w:rsidRPr="00C02953">
              <w:rPr>
                <w:b/>
                <w:sz w:val="28"/>
                <w:szCs w:val="28"/>
              </w:rPr>
              <w:t>0.5%</w:t>
            </w:r>
            <w:r>
              <w:rPr>
                <w:b/>
                <w:sz w:val="24"/>
                <w:szCs w:val="24"/>
              </w:rPr>
              <w:t xml:space="preserve"> Bupivacaine in ml</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200</w:t>
            </w:r>
          </w:p>
        </w:tc>
        <w:tc>
          <w:tcPr>
            <w:tcW w:w="2430" w:type="dxa"/>
          </w:tcPr>
          <w:p w:rsidR="00D51F10" w:rsidRPr="003A5DEC" w:rsidRDefault="00D51F10" w:rsidP="003A5DEC">
            <w:pPr>
              <w:jc w:val="center"/>
              <w:rPr>
                <w:sz w:val="24"/>
                <w:szCs w:val="24"/>
              </w:rPr>
            </w:pPr>
            <w:r>
              <w:rPr>
                <w:sz w:val="24"/>
                <w:szCs w:val="24"/>
              </w:rPr>
              <w:t>0.1</w:t>
            </w:r>
          </w:p>
        </w:tc>
        <w:tc>
          <w:tcPr>
            <w:tcW w:w="2340" w:type="dxa"/>
          </w:tcPr>
          <w:p w:rsidR="00D51F10" w:rsidRPr="003A5DEC" w:rsidRDefault="00D51F10" w:rsidP="003A5DEC">
            <w:pPr>
              <w:jc w:val="center"/>
              <w:rPr>
                <w:sz w:val="24"/>
                <w:szCs w:val="24"/>
              </w:rPr>
            </w:pPr>
            <w:r>
              <w:rPr>
                <w:sz w:val="24"/>
                <w:szCs w:val="24"/>
              </w:rPr>
              <w:t>0.2</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250</w:t>
            </w:r>
          </w:p>
        </w:tc>
        <w:tc>
          <w:tcPr>
            <w:tcW w:w="2430" w:type="dxa"/>
          </w:tcPr>
          <w:p w:rsidR="00D51F10" w:rsidRPr="003A5DEC" w:rsidRDefault="00D51F10" w:rsidP="003A5DEC">
            <w:pPr>
              <w:jc w:val="center"/>
              <w:rPr>
                <w:sz w:val="24"/>
                <w:szCs w:val="24"/>
              </w:rPr>
            </w:pPr>
            <w:r>
              <w:rPr>
                <w:sz w:val="24"/>
                <w:szCs w:val="24"/>
              </w:rPr>
              <w:t>0.12</w:t>
            </w:r>
          </w:p>
        </w:tc>
        <w:tc>
          <w:tcPr>
            <w:tcW w:w="2340" w:type="dxa"/>
          </w:tcPr>
          <w:p w:rsidR="00D51F10" w:rsidRPr="003A5DEC" w:rsidRDefault="00D51F10" w:rsidP="003A5DEC">
            <w:pPr>
              <w:jc w:val="center"/>
              <w:rPr>
                <w:sz w:val="24"/>
                <w:szCs w:val="24"/>
              </w:rPr>
            </w:pPr>
            <w:r>
              <w:rPr>
                <w:sz w:val="24"/>
                <w:szCs w:val="24"/>
              </w:rPr>
              <w:t>0.25</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275</w:t>
            </w:r>
          </w:p>
        </w:tc>
        <w:tc>
          <w:tcPr>
            <w:tcW w:w="2430" w:type="dxa"/>
          </w:tcPr>
          <w:p w:rsidR="00D51F10" w:rsidRPr="003A5DEC" w:rsidRDefault="00D51F10" w:rsidP="003A5DEC">
            <w:pPr>
              <w:jc w:val="center"/>
              <w:rPr>
                <w:sz w:val="24"/>
                <w:szCs w:val="24"/>
              </w:rPr>
            </w:pPr>
            <w:r>
              <w:rPr>
                <w:sz w:val="24"/>
                <w:szCs w:val="24"/>
              </w:rPr>
              <w:t>0.13</w:t>
            </w:r>
          </w:p>
        </w:tc>
        <w:tc>
          <w:tcPr>
            <w:tcW w:w="2340" w:type="dxa"/>
          </w:tcPr>
          <w:p w:rsidR="00D51F10" w:rsidRPr="003A5DEC" w:rsidRDefault="00D51F10" w:rsidP="003A5DEC">
            <w:pPr>
              <w:jc w:val="center"/>
              <w:rPr>
                <w:sz w:val="24"/>
                <w:szCs w:val="24"/>
              </w:rPr>
            </w:pPr>
            <w:r>
              <w:rPr>
                <w:sz w:val="24"/>
                <w:szCs w:val="24"/>
              </w:rPr>
              <w:t>0.27</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300</w:t>
            </w:r>
          </w:p>
        </w:tc>
        <w:tc>
          <w:tcPr>
            <w:tcW w:w="2430" w:type="dxa"/>
          </w:tcPr>
          <w:p w:rsidR="00D51F10" w:rsidRPr="003A5DEC" w:rsidRDefault="00D51F10" w:rsidP="003A5DEC">
            <w:pPr>
              <w:jc w:val="center"/>
              <w:rPr>
                <w:sz w:val="24"/>
                <w:szCs w:val="24"/>
              </w:rPr>
            </w:pPr>
            <w:r>
              <w:rPr>
                <w:sz w:val="24"/>
                <w:szCs w:val="24"/>
              </w:rPr>
              <w:t>0.15</w:t>
            </w:r>
          </w:p>
        </w:tc>
        <w:tc>
          <w:tcPr>
            <w:tcW w:w="2340" w:type="dxa"/>
          </w:tcPr>
          <w:p w:rsidR="00D51F10" w:rsidRPr="003A5DEC" w:rsidRDefault="00D51F10" w:rsidP="003A5DEC">
            <w:pPr>
              <w:jc w:val="center"/>
              <w:rPr>
                <w:sz w:val="24"/>
                <w:szCs w:val="24"/>
              </w:rPr>
            </w:pPr>
            <w:r>
              <w:rPr>
                <w:sz w:val="24"/>
                <w:szCs w:val="24"/>
              </w:rPr>
              <w:t>0.3</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325</w:t>
            </w:r>
          </w:p>
        </w:tc>
        <w:tc>
          <w:tcPr>
            <w:tcW w:w="2430" w:type="dxa"/>
          </w:tcPr>
          <w:p w:rsidR="00D51F10" w:rsidRPr="003A5DEC" w:rsidRDefault="00D51F10" w:rsidP="003A5DEC">
            <w:pPr>
              <w:jc w:val="center"/>
              <w:rPr>
                <w:sz w:val="24"/>
                <w:szCs w:val="24"/>
              </w:rPr>
            </w:pPr>
            <w:r>
              <w:rPr>
                <w:sz w:val="24"/>
                <w:szCs w:val="24"/>
              </w:rPr>
              <w:t>0.16</w:t>
            </w:r>
          </w:p>
        </w:tc>
        <w:tc>
          <w:tcPr>
            <w:tcW w:w="2340" w:type="dxa"/>
          </w:tcPr>
          <w:p w:rsidR="00D51F10" w:rsidRPr="003A5DEC" w:rsidRDefault="00D51F10" w:rsidP="003A5DEC">
            <w:pPr>
              <w:jc w:val="center"/>
              <w:rPr>
                <w:sz w:val="24"/>
                <w:szCs w:val="24"/>
              </w:rPr>
            </w:pPr>
            <w:r>
              <w:rPr>
                <w:sz w:val="24"/>
                <w:szCs w:val="24"/>
              </w:rPr>
              <w:t>0.32</w:t>
            </w:r>
          </w:p>
        </w:tc>
      </w:tr>
      <w:tr w:rsidR="00D51F10" w:rsidRPr="003A5DEC" w:rsidTr="005F5D79">
        <w:trPr>
          <w:jc w:val="center"/>
        </w:trPr>
        <w:tc>
          <w:tcPr>
            <w:tcW w:w="2340" w:type="dxa"/>
          </w:tcPr>
          <w:p w:rsidR="00D51F10" w:rsidRPr="003A5DEC" w:rsidRDefault="00C02953" w:rsidP="003A5DEC">
            <w:pPr>
              <w:jc w:val="center"/>
              <w:rPr>
                <w:sz w:val="24"/>
                <w:szCs w:val="24"/>
              </w:rPr>
            </w:pPr>
            <w:r>
              <w:rPr>
                <w:sz w:val="24"/>
                <w:szCs w:val="24"/>
              </w:rPr>
              <w:t>350</w:t>
            </w:r>
          </w:p>
        </w:tc>
        <w:tc>
          <w:tcPr>
            <w:tcW w:w="2430" w:type="dxa"/>
          </w:tcPr>
          <w:p w:rsidR="00D51F10" w:rsidRPr="003A5DEC" w:rsidRDefault="00D51F10" w:rsidP="003A5DEC">
            <w:pPr>
              <w:jc w:val="center"/>
              <w:rPr>
                <w:sz w:val="24"/>
                <w:szCs w:val="24"/>
              </w:rPr>
            </w:pPr>
            <w:r>
              <w:rPr>
                <w:sz w:val="24"/>
                <w:szCs w:val="24"/>
              </w:rPr>
              <w:t>0.17</w:t>
            </w:r>
          </w:p>
        </w:tc>
        <w:tc>
          <w:tcPr>
            <w:tcW w:w="2340" w:type="dxa"/>
          </w:tcPr>
          <w:p w:rsidR="00D51F10" w:rsidRPr="003A5DEC" w:rsidRDefault="00D51F10" w:rsidP="003A5DEC">
            <w:pPr>
              <w:jc w:val="center"/>
              <w:rPr>
                <w:sz w:val="24"/>
                <w:szCs w:val="24"/>
              </w:rPr>
            </w:pPr>
            <w:r>
              <w:rPr>
                <w:sz w:val="24"/>
                <w:szCs w:val="24"/>
              </w:rPr>
              <w:t>0.35</w:t>
            </w:r>
          </w:p>
        </w:tc>
      </w:tr>
      <w:tr w:rsidR="00D51F10" w:rsidRPr="003A5DEC" w:rsidTr="005F5D79">
        <w:trPr>
          <w:jc w:val="center"/>
        </w:trPr>
        <w:tc>
          <w:tcPr>
            <w:tcW w:w="2340" w:type="dxa"/>
          </w:tcPr>
          <w:p w:rsidR="00D51F10" w:rsidRDefault="00C02953" w:rsidP="003A5DEC">
            <w:pPr>
              <w:jc w:val="center"/>
              <w:rPr>
                <w:sz w:val="24"/>
                <w:szCs w:val="24"/>
              </w:rPr>
            </w:pPr>
            <w:r>
              <w:rPr>
                <w:sz w:val="24"/>
                <w:szCs w:val="24"/>
              </w:rPr>
              <w:t>375</w:t>
            </w:r>
          </w:p>
        </w:tc>
        <w:tc>
          <w:tcPr>
            <w:tcW w:w="2430" w:type="dxa"/>
          </w:tcPr>
          <w:p w:rsidR="00D51F10" w:rsidRPr="003A5DEC" w:rsidRDefault="00D51F10" w:rsidP="003A5DEC">
            <w:pPr>
              <w:jc w:val="center"/>
              <w:rPr>
                <w:sz w:val="24"/>
                <w:szCs w:val="24"/>
              </w:rPr>
            </w:pPr>
            <w:r>
              <w:rPr>
                <w:sz w:val="24"/>
                <w:szCs w:val="24"/>
              </w:rPr>
              <w:t>0.19</w:t>
            </w:r>
          </w:p>
        </w:tc>
        <w:tc>
          <w:tcPr>
            <w:tcW w:w="2340" w:type="dxa"/>
          </w:tcPr>
          <w:p w:rsidR="00D51F10" w:rsidRPr="003A5DEC" w:rsidRDefault="00D51F10" w:rsidP="003A5DEC">
            <w:pPr>
              <w:jc w:val="center"/>
              <w:rPr>
                <w:sz w:val="24"/>
                <w:szCs w:val="24"/>
              </w:rPr>
            </w:pPr>
            <w:r>
              <w:rPr>
                <w:sz w:val="24"/>
                <w:szCs w:val="24"/>
              </w:rPr>
              <w:t>0.37</w:t>
            </w:r>
          </w:p>
        </w:tc>
      </w:tr>
      <w:tr w:rsidR="00D51F10" w:rsidRPr="003A5DEC" w:rsidTr="005F5D79">
        <w:trPr>
          <w:jc w:val="center"/>
        </w:trPr>
        <w:tc>
          <w:tcPr>
            <w:tcW w:w="2340" w:type="dxa"/>
          </w:tcPr>
          <w:p w:rsidR="00D51F10" w:rsidRDefault="00C02953" w:rsidP="003A5DEC">
            <w:pPr>
              <w:jc w:val="center"/>
              <w:rPr>
                <w:sz w:val="24"/>
                <w:szCs w:val="24"/>
              </w:rPr>
            </w:pPr>
            <w:r>
              <w:rPr>
                <w:sz w:val="24"/>
                <w:szCs w:val="24"/>
              </w:rPr>
              <w:t>400</w:t>
            </w:r>
          </w:p>
        </w:tc>
        <w:tc>
          <w:tcPr>
            <w:tcW w:w="2430" w:type="dxa"/>
          </w:tcPr>
          <w:p w:rsidR="00D51F10" w:rsidRPr="003A5DEC" w:rsidRDefault="00D51F10" w:rsidP="003A5DEC">
            <w:pPr>
              <w:jc w:val="center"/>
              <w:rPr>
                <w:sz w:val="24"/>
                <w:szCs w:val="24"/>
              </w:rPr>
            </w:pPr>
            <w:r>
              <w:rPr>
                <w:sz w:val="24"/>
                <w:szCs w:val="24"/>
              </w:rPr>
              <w:t>0.2</w:t>
            </w:r>
          </w:p>
        </w:tc>
        <w:tc>
          <w:tcPr>
            <w:tcW w:w="2340" w:type="dxa"/>
          </w:tcPr>
          <w:p w:rsidR="00D51F10" w:rsidRPr="003A5DEC" w:rsidRDefault="00D51F10" w:rsidP="003A5DEC">
            <w:pPr>
              <w:jc w:val="center"/>
              <w:rPr>
                <w:sz w:val="24"/>
                <w:szCs w:val="24"/>
              </w:rPr>
            </w:pPr>
            <w:r>
              <w:rPr>
                <w:sz w:val="24"/>
                <w:szCs w:val="24"/>
              </w:rPr>
              <w:t>0.4</w:t>
            </w:r>
          </w:p>
        </w:tc>
      </w:tr>
      <w:tr w:rsidR="00D51F10" w:rsidRPr="003A5DEC" w:rsidTr="005F5D79">
        <w:trPr>
          <w:jc w:val="center"/>
        </w:trPr>
        <w:tc>
          <w:tcPr>
            <w:tcW w:w="2340" w:type="dxa"/>
          </w:tcPr>
          <w:p w:rsidR="00D51F10" w:rsidRDefault="00C02953" w:rsidP="003A5DEC">
            <w:pPr>
              <w:jc w:val="center"/>
              <w:rPr>
                <w:sz w:val="24"/>
                <w:szCs w:val="24"/>
              </w:rPr>
            </w:pPr>
            <w:r>
              <w:rPr>
                <w:sz w:val="24"/>
                <w:szCs w:val="24"/>
              </w:rPr>
              <w:t>425</w:t>
            </w:r>
          </w:p>
        </w:tc>
        <w:tc>
          <w:tcPr>
            <w:tcW w:w="2430" w:type="dxa"/>
          </w:tcPr>
          <w:p w:rsidR="00D51F10" w:rsidRPr="003A5DEC" w:rsidRDefault="00D51F10" w:rsidP="003A5DEC">
            <w:pPr>
              <w:jc w:val="center"/>
              <w:rPr>
                <w:sz w:val="24"/>
                <w:szCs w:val="24"/>
              </w:rPr>
            </w:pPr>
            <w:r>
              <w:rPr>
                <w:sz w:val="24"/>
                <w:szCs w:val="24"/>
              </w:rPr>
              <w:t>0.21</w:t>
            </w:r>
          </w:p>
        </w:tc>
        <w:tc>
          <w:tcPr>
            <w:tcW w:w="2340" w:type="dxa"/>
          </w:tcPr>
          <w:p w:rsidR="00D51F10" w:rsidRPr="003A5DEC" w:rsidRDefault="00D51F10" w:rsidP="003A5DEC">
            <w:pPr>
              <w:jc w:val="center"/>
              <w:rPr>
                <w:sz w:val="24"/>
                <w:szCs w:val="24"/>
              </w:rPr>
            </w:pPr>
            <w:r>
              <w:rPr>
                <w:sz w:val="24"/>
                <w:szCs w:val="24"/>
              </w:rPr>
              <w:t>0.42</w:t>
            </w:r>
          </w:p>
        </w:tc>
      </w:tr>
      <w:tr w:rsidR="00D51F10" w:rsidRPr="003A5DEC" w:rsidTr="005F5D79">
        <w:trPr>
          <w:jc w:val="center"/>
        </w:trPr>
        <w:tc>
          <w:tcPr>
            <w:tcW w:w="2340" w:type="dxa"/>
          </w:tcPr>
          <w:p w:rsidR="00D51F10" w:rsidRDefault="00D51F10" w:rsidP="003A5DEC">
            <w:pPr>
              <w:jc w:val="center"/>
              <w:rPr>
                <w:sz w:val="24"/>
                <w:szCs w:val="24"/>
              </w:rPr>
            </w:pPr>
            <w:r>
              <w:rPr>
                <w:sz w:val="24"/>
                <w:szCs w:val="24"/>
              </w:rPr>
              <w:t>450</w:t>
            </w:r>
          </w:p>
        </w:tc>
        <w:tc>
          <w:tcPr>
            <w:tcW w:w="2430" w:type="dxa"/>
          </w:tcPr>
          <w:p w:rsidR="00D51F10" w:rsidRPr="003A5DEC" w:rsidRDefault="00D51F10" w:rsidP="003A5DEC">
            <w:pPr>
              <w:jc w:val="center"/>
              <w:rPr>
                <w:sz w:val="24"/>
                <w:szCs w:val="24"/>
              </w:rPr>
            </w:pPr>
            <w:r>
              <w:rPr>
                <w:sz w:val="24"/>
                <w:szCs w:val="24"/>
              </w:rPr>
              <w:t>0.22</w:t>
            </w:r>
          </w:p>
        </w:tc>
        <w:tc>
          <w:tcPr>
            <w:tcW w:w="2340" w:type="dxa"/>
          </w:tcPr>
          <w:p w:rsidR="00D51F10" w:rsidRPr="003A5DEC" w:rsidRDefault="00D51F10" w:rsidP="003A5DEC">
            <w:pPr>
              <w:jc w:val="center"/>
              <w:rPr>
                <w:sz w:val="24"/>
                <w:szCs w:val="24"/>
              </w:rPr>
            </w:pPr>
            <w:r>
              <w:rPr>
                <w:sz w:val="24"/>
                <w:szCs w:val="24"/>
              </w:rPr>
              <w:t>0.45</w:t>
            </w:r>
          </w:p>
        </w:tc>
      </w:tr>
      <w:tr w:rsidR="00D51F10" w:rsidRPr="003A5DEC" w:rsidTr="005F5D79">
        <w:trPr>
          <w:jc w:val="center"/>
        </w:trPr>
        <w:tc>
          <w:tcPr>
            <w:tcW w:w="2340" w:type="dxa"/>
          </w:tcPr>
          <w:p w:rsidR="00D51F10" w:rsidRDefault="00D51F10" w:rsidP="003A5DEC">
            <w:pPr>
              <w:jc w:val="center"/>
              <w:rPr>
                <w:sz w:val="24"/>
                <w:szCs w:val="24"/>
              </w:rPr>
            </w:pPr>
            <w:r>
              <w:rPr>
                <w:sz w:val="24"/>
                <w:szCs w:val="24"/>
              </w:rPr>
              <w:t>475</w:t>
            </w:r>
          </w:p>
        </w:tc>
        <w:tc>
          <w:tcPr>
            <w:tcW w:w="2430" w:type="dxa"/>
          </w:tcPr>
          <w:p w:rsidR="00D51F10" w:rsidRPr="003A5DEC" w:rsidRDefault="00D51F10" w:rsidP="003A5DEC">
            <w:pPr>
              <w:jc w:val="center"/>
              <w:rPr>
                <w:sz w:val="24"/>
                <w:szCs w:val="24"/>
              </w:rPr>
            </w:pPr>
            <w:r>
              <w:rPr>
                <w:sz w:val="24"/>
                <w:szCs w:val="24"/>
              </w:rPr>
              <w:t>0.24</w:t>
            </w:r>
          </w:p>
        </w:tc>
        <w:tc>
          <w:tcPr>
            <w:tcW w:w="2340" w:type="dxa"/>
          </w:tcPr>
          <w:p w:rsidR="00D51F10" w:rsidRPr="003A5DEC" w:rsidRDefault="00D51F10" w:rsidP="003A5DEC">
            <w:pPr>
              <w:jc w:val="center"/>
              <w:rPr>
                <w:sz w:val="24"/>
                <w:szCs w:val="24"/>
              </w:rPr>
            </w:pPr>
            <w:r>
              <w:rPr>
                <w:sz w:val="24"/>
                <w:szCs w:val="24"/>
              </w:rPr>
              <w:t>0.47</w:t>
            </w:r>
          </w:p>
        </w:tc>
      </w:tr>
      <w:tr w:rsidR="00D51F10" w:rsidRPr="003A5DEC" w:rsidTr="005F5D79">
        <w:trPr>
          <w:jc w:val="center"/>
        </w:trPr>
        <w:tc>
          <w:tcPr>
            <w:tcW w:w="2340" w:type="dxa"/>
          </w:tcPr>
          <w:p w:rsidR="00D51F10" w:rsidRDefault="00D51F10" w:rsidP="003A5DEC">
            <w:pPr>
              <w:jc w:val="center"/>
              <w:rPr>
                <w:sz w:val="24"/>
                <w:szCs w:val="24"/>
              </w:rPr>
            </w:pPr>
            <w:r>
              <w:rPr>
                <w:sz w:val="24"/>
                <w:szCs w:val="24"/>
              </w:rPr>
              <w:t>500</w:t>
            </w:r>
          </w:p>
        </w:tc>
        <w:tc>
          <w:tcPr>
            <w:tcW w:w="2430" w:type="dxa"/>
          </w:tcPr>
          <w:p w:rsidR="00D51F10" w:rsidRPr="003A5DEC" w:rsidRDefault="00D51F10" w:rsidP="003A5DEC">
            <w:pPr>
              <w:jc w:val="center"/>
              <w:rPr>
                <w:sz w:val="24"/>
                <w:szCs w:val="24"/>
              </w:rPr>
            </w:pPr>
            <w:r>
              <w:rPr>
                <w:sz w:val="24"/>
                <w:szCs w:val="24"/>
              </w:rPr>
              <w:t>0.25</w:t>
            </w:r>
          </w:p>
        </w:tc>
        <w:tc>
          <w:tcPr>
            <w:tcW w:w="2340" w:type="dxa"/>
          </w:tcPr>
          <w:p w:rsidR="00D51F10" w:rsidRPr="003A5DEC" w:rsidRDefault="00D51F10" w:rsidP="003A5DEC">
            <w:pPr>
              <w:jc w:val="center"/>
              <w:rPr>
                <w:sz w:val="24"/>
                <w:szCs w:val="24"/>
              </w:rPr>
            </w:pPr>
            <w:r>
              <w:rPr>
                <w:sz w:val="24"/>
                <w:szCs w:val="24"/>
              </w:rPr>
              <w:t>0.5</w:t>
            </w:r>
          </w:p>
        </w:tc>
      </w:tr>
    </w:tbl>
    <w:p w:rsidR="003A5DEC" w:rsidRDefault="005F5D79" w:rsidP="005F5D79">
      <w:pPr>
        <w:rPr>
          <w:sz w:val="24"/>
          <w:szCs w:val="24"/>
        </w:rPr>
      </w:pPr>
      <w:r>
        <w:rPr>
          <w:sz w:val="24"/>
          <w:szCs w:val="24"/>
        </w:rPr>
        <w:t xml:space="preserve">                    </w:t>
      </w:r>
    </w:p>
    <w:p w:rsidR="005F5D79" w:rsidRDefault="005F5D79" w:rsidP="005F5D79">
      <w:pPr>
        <w:rPr>
          <w:sz w:val="24"/>
          <w:szCs w:val="24"/>
        </w:rPr>
      </w:pPr>
    </w:p>
    <w:p w:rsidR="005F5D79" w:rsidRDefault="005F5D79" w:rsidP="005F5D79">
      <w:pPr>
        <w:rPr>
          <w:sz w:val="24"/>
          <w:szCs w:val="24"/>
        </w:rPr>
      </w:pPr>
    </w:p>
    <w:p w:rsidR="005F5D79" w:rsidRDefault="005F5D79" w:rsidP="005F5D79">
      <w:pPr>
        <w:jc w:val="center"/>
        <w:rPr>
          <w:b/>
          <w:sz w:val="28"/>
          <w:szCs w:val="28"/>
          <w:u w:val="single"/>
        </w:rPr>
      </w:pPr>
      <w:r>
        <w:rPr>
          <w:b/>
          <w:sz w:val="28"/>
          <w:szCs w:val="28"/>
          <w:u w:val="single"/>
        </w:rPr>
        <w:t xml:space="preserve">MOUSE </w:t>
      </w:r>
    </w:p>
    <w:tbl>
      <w:tblPr>
        <w:tblStyle w:val="TableGrid"/>
        <w:tblW w:w="0" w:type="auto"/>
        <w:jc w:val="center"/>
        <w:tblLook w:val="04A0" w:firstRow="1" w:lastRow="0" w:firstColumn="1" w:lastColumn="0" w:noHBand="0" w:noVBand="1"/>
      </w:tblPr>
      <w:tblGrid>
        <w:gridCol w:w="2340"/>
        <w:gridCol w:w="2430"/>
        <w:gridCol w:w="2340"/>
      </w:tblGrid>
      <w:tr w:rsidR="00C02953" w:rsidTr="00377264">
        <w:trPr>
          <w:jc w:val="center"/>
        </w:trPr>
        <w:tc>
          <w:tcPr>
            <w:tcW w:w="2340" w:type="dxa"/>
          </w:tcPr>
          <w:p w:rsidR="00C02953" w:rsidRPr="003A5DEC" w:rsidRDefault="00C02953" w:rsidP="00C02953">
            <w:pPr>
              <w:jc w:val="center"/>
              <w:rPr>
                <w:b/>
                <w:sz w:val="24"/>
                <w:szCs w:val="24"/>
              </w:rPr>
            </w:pPr>
            <w:r>
              <w:rPr>
                <w:b/>
                <w:sz w:val="24"/>
                <w:szCs w:val="24"/>
              </w:rPr>
              <w:t>Body</w:t>
            </w:r>
            <w:r w:rsidRPr="003A5DEC">
              <w:rPr>
                <w:b/>
                <w:sz w:val="24"/>
                <w:szCs w:val="24"/>
              </w:rPr>
              <w:t xml:space="preserve"> Weight in g</w:t>
            </w:r>
            <w:r>
              <w:rPr>
                <w:b/>
                <w:sz w:val="24"/>
                <w:szCs w:val="24"/>
              </w:rPr>
              <w:t xml:space="preserve"> (mouse)</w:t>
            </w:r>
          </w:p>
        </w:tc>
        <w:tc>
          <w:tcPr>
            <w:tcW w:w="2430" w:type="dxa"/>
          </w:tcPr>
          <w:p w:rsidR="00C02953" w:rsidRPr="003A5DEC" w:rsidRDefault="00C02953" w:rsidP="00377264">
            <w:pPr>
              <w:jc w:val="center"/>
              <w:rPr>
                <w:b/>
                <w:sz w:val="24"/>
                <w:szCs w:val="24"/>
              </w:rPr>
            </w:pPr>
            <w:r w:rsidRPr="00C02953">
              <w:rPr>
                <w:b/>
                <w:sz w:val="28"/>
                <w:szCs w:val="28"/>
              </w:rPr>
              <w:t>1%</w:t>
            </w:r>
            <w:r w:rsidRPr="003A5DEC">
              <w:rPr>
                <w:b/>
                <w:sz w:val="24"/>
                <w:szCs w:val="24"/>
              </w:rPr>
              <w:t xml:space="preserve"> Lidocain</w:t>
            </w:r>
            <w:r>
              <w:rPr>
                <w:b/>
                <w:sz w:val="24"/>
                <w:szCs w:val="24"/>
              </w:rPr>
              <w:t>e in ml</w:t>
            </w:r>
          </w:p>
        </w:tc>
        <w:tc>
          <w:tcPr>
            <w:tcW w:w="2340" w:type="dxa"/>
          </w:tcPr>
          <w:p w:rsidR="00C02953" w:rsidRPr="003A5DEC" w:rsidRDefault="00C02953" w:rsidP="00377264">
            <w:pPr>
              <w:jc w:val="center"/>
              <w:rPr>
                <w:b/>
                <w:sz w:val="24"/>
                <w:szCs w:val="24"/>
              </w:rPr>
            </w:pPr>
            <w:r w:rsidRPr="00C02953">
              <w:rPr>
                <w:b/>
                <w:sz w:val="28"/>
                <w:szCs w:val="28"/>
              </w:rPr>
              <w:t xml:space="preserve">0.25% </w:t>
            </w:r>
            <w:r>
              <w:rPr>
                <w:b/>
                <w:sz w:val="24"/>
                <w:szCs w:val="24"/>
              </w:rPr>
              <w:t>Bupivacaine in ml</w:t>
            </w:r>
          </w:p>
        </w:tc>
      </w:tr>
      <w:tr w:rsidR="00C02953" w:rsidRPr="003A5DEC" w:rsidTr="00377264">
        <w:trPr>
          <w:jc w:val="center"/>
        </w:trPr>
        <w:tc>
          <w:tcPr>
            <w:tcW w:w="2340" w:type="dxa"/>
          </w:tcPr>
          <w:p w:rsidR="00C02953" w:rsidRPr="003A5DEC" w:rsidRDefault="00C02953" w:rsidP="002C6A60">
            <w:pPr>
              <w:jc w:val="center"/>
              <w:rPr>
                <w:sz w:val="24"/>
                <w:szCs w:val="24"/>
              </w:rPr>
            </w:pPr>
            <w:r>
              <w:rPr>
                <w:sz w:val="24"/>
                <w:szCs w:val="24"/>
              </w:rPr>
              <w:t>1</w:t>
            </w:r>
            <w:r w:rsidR="002C6A60">
              <w:rPr>
                <w:sz w:val="24"/>
                <w:szCs w:val="24"/>
              </w:rPr>
              <w:t>5</w:t>
            </w:r>
          </w:p>
        </w:tc>
        <w:tc>
          <w:tcPr>
            <w:tcW w:w="2430" w:type="dxa"/>
          </w:tcPr>
          <w:p w:rsidR="00C02953" w:rsidRPr="003A5DEC" w:rsidRDefault="002C6A60" w:rsidP="00377264">
            <w:pPr>
              <w:jc w:val="center"/>
              <w:rPr>
                <w:sz w:val="24"/>
                <w:szCs w:val="24"/>
              </w:rPr>
            </w:pPr>
            <w:r>
              <w:rPr>
                <w:sz w:val="24"/>
                <w:szCs w:val="24"/>
              </w:rPr>
              <w:t>0.015</w:t>
            </w:r>
          </w:p>
        </w:tc>
        <w:tc>
          <w:tcPr>
            <w:tcW w:w="2340" w:type="dxa"/>
          </w:tcPr>
          <w:p w:rsidR="00C02953" w:rsidRPr="003A5DEC" w:rsidRDefault="002C6A60" w:rsidP="00377264">
            <w:pPr>
              <w:jc w:val="center"/>
              <w:rPr>
                <w:sz w:val="24"/>
                <w:szCs w:val="24"/>
              </w:rPr>
            </w:pPr>
            <w:r>
              <w:rPr>
                <w:sz w:val="24"/>
                <w:szCs w:val="24"/>
              </w:rPr>
              <w:t>0.03</w:t>
            </w:r>
          </w:p>
        </w:tc>
      </w:tr>
      <w:tr w:rsidR="00C02953" w:rsidRPr="003A5DEC" w:rsidTr="00377264">
        <w:trPr>
          <w:jc w:val="center"/>
        </w:trPr>
        <w:tc>
          <w:tcPr>
            <w:tcW w:w="2340" w:type="dxa"/>
          </w:tcPr>
          <w:p w:rsidR="00C02953" w:rsidRPr="003A5DEC" w:rsidRDefault="00C02953" w:rsidP="00C02953">
            <w:pPr>
              <w:jc w:val="center"/>
              <w:rPr>
                <w:sz w:val="24"/>
                <w:szCs w:val="24"/>
              </w:rPr>
            </w:pPr>
            <w:r>
              <w:rPr>
                <w:sz w:val="24"/>
                <w:szCs w:val="24"/>
              </w:rPr>
              <w:t>20</w:t>
            </w:r>
          </w:p>
        </w:tc>
        <w:tc>
          <w:tcPr>
            <w:tcW w:w="2430" w:type="dxa"/>
          </w:tcPr>
          <w:p w:rsidR="00C02953" w:rsidRPr="003A5DEC" w:rsidRDefault="002C6A60" w:rsidP="00377264">
            <w:pPr>
              <w:jc w:val="center"/>
              <w:rPr>
                <w:sz w:val="24"/>
                <w:szCs w:val="24"/>
              </w:rPr>
            </w:pPr>
            <w:r>
              <w:rPr>
                <w:sz w:val="24"/>
                <w:szCs w:val="24"/>
              </w:rPr>
              <w:t>0.02</w:t>
            </w:r>
          </w:p>
        </w:tc>
        <w:tc>
          <w:tcPr>
            <w:tcW w:w="2340" w:type="dxa"/>
          </w:tcPr>
          <w:p w:rsidR="00C02953" w:rsidRPr="003A5DEC" w:rsidRDefault="002C6A60" w:rsidP="00377264">
            <w:pPr>
              <w:jc w:val="center"/>
              <w:rPr>
                <w:sz w:val="24"/>
                <w:szCs w:val="24"/>
              </w:rPr>
            </w:pPr>
            <w:r>
              <w:rPr>
                <w:sz w:val="24"/>
                <w:szCs w:val="24"/>
              </w:rPr>
              <w:t>0.04</w:t>
            </w:r>
          </w:p>
        </w:tc>
      </w:tr>
      <w:tr w:rsidR="00C02953" w:rsidRPr="003A5DEC" w:rsidTr="00377264">
        <w:trPr>
          <w:jc w:val="center"/>
        </w:trPr>
        <w:tc>
          <w:tcPr>
            <w:tcW w:w="2340" w:type="dxa"/>
          </w:tcPr>
          <w:p w:rsidR="00C02953" w:rsidRPr="003A5DEC" w:rsidRDefault="00C02953" w:rsidP="00377264">
            <w:pPr>
              <w:jc w:val="center"/>
              <w:rPr>
                <w:sz w:val="24"/>
                <w:szCs w:val="24"/>
              </w:rPr>
            </w:pPr>
            <w:r>
              <w:rPr>
                <w:sz w:val="24"/>
                <w:szCs w:val="24"/>
              </w:rPr>
              <w:t>2</w:t>
            </w:r>
            <w:r w:rsidR="002C6A60">
              <w:rPr>
                <w:sz w:val="24"/>
                <w:szCs w:val="24"/>
              </w:rPr>
              <w:t>5</w:t>
            </w:r>
          </w:p>
        </w:tc>
        <w:tc>
          <w:tcPr>
            <w:tcW w:w="2430" w:type="dxa"/>
          </w:tcPr>
          <w:p w:rsidR="00C02953" w:rsidRPr="003A5DEC" w:rsidRDefault="002C6A60" w:rsidP="00377264">
            <w:pPr>
              <w:jc w:val="center"/>
              <w:rPr>
                <w:sz w:val="24"/>
                <w:szCs w:val="24"/>
              </w:rPr>
            </w:pPr>
            <w:r>
              <w:rPr>
                <w:sz w:val="24"/>
                <w:szCs w:val="24"/>
              </w:rPr>
              <w:t>0.025</w:t>
            </w:r>
          </w:p>
        </w:tc>
        <w:tc>
          <w:tcPr>
            <w:tcW w:w="2340" w:type="dxa"/>
          </w:tcPr>
          <w:p w:rsidR="00C02953" w:rsidRPr="003A5DEC" w:rsidRDefault="00031010" w:rsidP="00377264">
            <w:pPr>
              <w:jc w:val="center"/>
              <w:rPr>
                <w:sz w:val="24"/>
                <w:szCs w:val="24"/>
              </w:rPr>
            </w:pPr>
            <w:r>
              <w:rPr>
                <w:sz w:val="24"/>
                <w:szCs w:val="24"/>
              </w:rPr>
              <w:t>0.05</w:t>
            </w:r>
          </w:p>
        </w:tc>
      </w:tr>
      <w:tr w:rsidR="00C02953" w:rsidRPr="003A5DEC" w:rsidTr="00377264">
        <w:trPr>
          <w:jc w:val="center"/>
        </w:trPr>
        <w:tc>
          <w:tcPr>
            <w:tcW w:w="2340" w:type="dxa"/>
          </w:tcPr>
          <w:p w:rsidR="00C02953" w:rsidRDefault="00C02953" w:rsidP="00377264">
            <w:pPr>
              <w:jc w:val="center"/>
              <w:rPr>
                <w:sz w:val="24"/>
                <w:szCs w:val="24"/>
              </w:rPr>
            </w:pPr>
            <w:r>
              <w:rPr>
                <w:sz w:val="24"/>
                <w:szCs w:val="24"/>
              </w:rPr>
              <w:t>30</w:t>
            </w:r>
          </w:p>
        </w:tc>
        <w:tc>
          <w:tcPr>
            <w:tcW w:w="2430" w:type="dxa"/>
          </w:tcPr>
          <w:p w:rsidR="00C02953" w:rsidRPr="003A5DEC" w:rsidRDefault="002C6A60" w:rsidP="00377264">
            <w:pPr>
              <w:jc w:val="center"/>
              <w:rPr>
                <w:sz w:val="24"/>
                <w:szCs w:val="24"/>
              </w:rPr>
            </w:pPr>
            <w:r>
              <w:rPr>
                <w:sz w:val="24"/>
                <w:szCs w:val="24"/>
              </w:rPr>
              <w:t>0.03</w:t>
            </w:r>
          </w:p>
        </w:tc>
        <w:tc>
          <w:tcPr>
            <w:tcW w:w="2340" w:type="dxa"/>
          </w:tcPr>
          <w:p w:rsidR="00C02953" w:rsidRPr="003A5DEC" w:rsidRDefault="00031010" w:rsidP="00377264">
            <w:pPr>
              <w:jc w:val="center"/>
              <w:rPr>
                <w:sz w:val="24"/>
                <w:szCs w:val="24"/>
              </w:rPr>
            </w:pPr>
            <w:r>
              <w:rPr>
                <w:sz w:val="24"/>
                <w:szCs w:val="24"/>
              </w:rPr>
              <w:t>0.06</w:t>
            </w:r>
          </w:p>
        </w:tc>
      </w:tr>
      <w:tr w:rsidR="00C02953" w:rsidRPr="003A5DEC" w:rsidTr="00377264">
        <w:trPr>
          <w:jc w:val="center"/>
        </w:trPr>
        <w:tc>
          <w:tcPr>
            <w:tcW w:w="2340" w:type="dxa"/>
          </w:tcPr>
          <w:p w:rsidR="00C02953" w:rsidRDefault="00C02953" w:rsidP="002C6A60">
            <w:pPr>
              <w:jc w:val="center"/>
              <w:rPr>
                <w:sz w:val="24"/>
                <w:szCs w:val="24"/>
              </w:rPr>
            </w:pPr>
            <w:r>
              <w:rPr>
                <w:sz w:val="24"/>
                <w:szCs w:val="24"/>
              </w:rPr>
              <w:t>3</w:t>
            </w:r>
            <w:r w:rsidR="002C6A60">
              <w:rPr>
                <w:sz w:val="24"/>
                <w:szCs w:val="24"/>
              </w:rPr>
              <w:t>5</w:t>
            </w:r>
          </w:p>
        </w:tc>
        <w:tc>
          <w:tcPr>
            <w:tcW w:w="2430" w:type="dxa"/>
          </w:tcPr>
          <w:p w:rsidR="00C02953" w:rsidRPr="003A5DEC" w:rsidRDefault="002C6A60" w:rsidP="00377264">
            <w:pPr>
              <w:jc w:val="center"/>
              <w:rPr>
                <w:sz w:val="24"/>
                <w:szCs w:val="24"/>
              </w:rPr>
            </w:pPr>
            <w:r>
              <w:rPr>
                <w:sz w:val="24"/>
                <w:szCs w:val="24"/>
              </w:rPr>
              <w:t>0.035</w:t>
            </w:r>
          </w:p>
        </w:tc>
        <w:tc>
          <w:tcPr>
            <w:tcW w:w="2340" w:type="dxa"/>
          </w:tcPr>
          <w:p w:rsidR="00C02953" w:rsidRPr="003A5DEC" w:rsidRDefault="00031010" w:rsidP="00377264">
            <w:pPr>
              <w:jc w:val="center"/>
              <w:rPr>
                <w:sz w:val="24"/>
                <w:szCs w:val="24"/>
              </w:rPr>
            </w:pPr>
            <w:r>
              <w:rPr>
                <w:sz w:val="24"/>
                <w:szCs w:val="24"/>
              </w:rPr>
              <w:t>0.07</w:t>
            </w:r>
          </w:p>
        </w:tc>
      </w:tr>
      <w:tr w:rsidR="00C02953" w:rsidRPr="003A5DEC" w:rsidTr="00377264">
        <w:trPr>
          <w:jc w:val="center"/>
        </w:trPr>
        <w:tc>
          <w:tcPr>
            <w:tcW w:w="2340" w:type="dxa"/>
          </w:tcPr>
          <w:p w:rsidR="00C02953" w:rsidRDefault="002C6A60" w:rsidP="00377264">
            <w:pPr>
              <w:jc w:val="center"/>
              <w:rPr>
                <w:sz w:val="24"/>
                <w:szCs w:val="24"/>
              </w:rPr>
            </w:pPr>
            <w:r>
              <w:rPr>
                <w:sz w:val="24"/>
                <w:szCs w:val="24"/>
              </w:rPr>
              <w:t>40</w:t>
            </w:r>
          </w:p>
        </w:tc>
        <w:tc>
          <w:tcPr>
            <w:tcW w:w="2430" w:type="dxa"/>
          </w:tcPr>
          <w:p w:rsidR="00C02953" w:rsidRPr="003A5DEC" w:rsidRDefault="002C6A60" w:rsidP="00377264">
            <w:pPr>
              <w:jc w:val="center"/>
              <w:rPr>
                <w:sz w:val="24"/>
                <w:szCs w:val="24"/>
              </w:rPr>
            </w:pPr>
            <w:r>
              <w:rPr>
                <w:sz w:val="24"/>
                <w:szCs w:val="24"/>
              </w:rPr>
              <w:t>0.04</w:t>
            </w:r>
          </w:p>
        </w:tc>
        <w:tc>
          <w:tcPr>
            <w:tcW w:w="2340" w:type="dxa"/>
          </w:tcPr>
          <w:p w:rsidR="00C02953" w:rsidRPr="003A5DEC" w:rsidRDefault="00031010" w:rsidP="00377264">
            <w:pPr>
              <w:jc w:val="center"/>
              <w:rPr>
                <w:sz w:val="24"/>
                <w:szCs w:val="24"/>
              </w:rPr>
            </w:pPr>
            <w:r>
              <w:rPr>
                <w:sz w:val="24"/>
                <w:szCs w:val="24"/>
              </w:rPr>
              <w:t>0.08</w:t>
            </w:r>
          </w:p>
        </w:tc>
      </w:tr>
      <w:tr w:rsidR="00C02953" w:rsidRPr="003A5DEC" w:rsidTr="00377264">
        <w:trPr>
          <w:jc w:val="center"/>
        </w:trPr>
        <w:tc>
          <w:tcPr>
            <w:tcW w:w="2340" w:type="dxa"/>
          </w:tcPr>
          <w:p w:rsidR="00C02953" w:rsidRDefault="002C6A60" w:rsidP="00377264">
            <w:pPr>
              <w:jc w:val="center"/>
              <w:rPr>
                <w:sz w:val="24"/>
                <w:szCs w:val="24"/>
              </w:rPr>
            </w:pPr>
            <w:r>
              <w:rPr>
                <w:sz w:val="24"/>
                <w:szCs w:val="24"/>
              </w:rPr>
              <w:t>45</w:t>
            </w:r>
          </w:p>
        </w:tc>
        <w:tc>
          <w:tcPr>
            <w:tcW w:w="2430" w:type="dxa"/>
          </w:tcPr>
          <w:p w:rsidR="00C02953" w:rsidRPr="003A5DEC" w:rsidRDefault="002C6A60" w:rsidP="00377264">
            <w:pPr>
              <w:jc w:val="center"/>
              <w:rPr>
                <w:sz w:val="24"/>
                <w:szCs w:val="24"/>
              </w:rPr>
            </w:pPr>
            <w:r>
              <w:rPr>
                <w:sz w:val="24"/>
                <w:szCs w:val="24"/>
              </w:rPr>
              <w:t>0.045</w:t>
            </w:r>
          </w:p>
        </w:tc>
        <w:tc>
          <w:tcPr>
            <w:tcW w:w="2340" w:type="dxa"/>
          </w:tcPr>
          <w:p w:rsidR="00C02953" w:rsidRPr="003A5DEC" w:rsidRDefault="00031010" w:rsidP="00377264">
            <w:pPr>
              <w:jc w:val="center"/>
              <w:rPr>
                <w:sz w:val="24"/>
                <w:szCs w:val="24"/>
              </w:rPr>
            </w:pPr>
            <w:r>
              <w:rPr>
                <w:sz w:val="24"/>
                <w:szCs w:val="24"/>
              </w:rPr>
              <w:t>0.09</w:t>
            </w:r>
          </w:p>
        </w:tc>
      </w:tr>
    </w:tbl>
    <w:p w:rsidR="00C02953" w:rsidRPr="005F5D79" w:rsidRDefault="00C02953" w:rsidP="005F5D79">
      <w:pPr>
        <w:jc w:val="center"/>
        <w:rPr>
          <w:b/>
          <w:sz w:val="28"/>
          <w:szCs w:val="28"/>
        </w:rPr>
      </w:pPr>
    </w:p>
    <w:sectPr w:rsidR="00C02953" w:rsidRPr="005F5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4F" w:rsidRDefault="004F3C4F" w:rsidP="000F6B7F">
      <w:pPr>
        <w:spacing w:after="0" w:line="240" w:lineRule="auto"/>
      </w:pPr>
      <w:r>
        <w:separator/>
      </w:r>
    </w:p>
  </w:endnote>
  <w:endnote w:type="continuationSeparator" w:id="0">
    <w:p w:rsidR="004F3C4F" w:rsidRDefault="004F3C4F" w:rsidP="000F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rsidP="000F6B7F">
    <w:pPr>
      <w:pStyle w:val="Foo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33359">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33359">
      <w:rPr>
        <w:noProof/>
        <w:color w:val="5B9BD5" w:themeColor="accent1"/>
      </w:rPr>
      <w:t>2</w:t>
    </w:r>
    <w:r>
      <w:rPr>
        <w:color w:val="5B9BD5" w:themeColor="accent1"/>
      </w:rPr>
      <w:fldChar w:fldCharType="end"/>
    </w:r>
  </w:p>
  <w:p w:rsidR="000F6B7F" w:rsidRDefault="000F6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4F" w:rsidRDefault="004F3C4F" w:rsidP="000F6B7F">
      <w:pPr>
        <w:spacing w:after="0" w:line="240" w:lineRule="auto"/>
      </w:pPr>
      <w:r>
        <w:separator/>
      </w:r>
    </w:p>
  </w:footnote>
  <w:footnote w:type="continuationSeparator" w:id="0">
    <w:p w:rsidR="004F3C4F" w:rsidRDefault="004F3C4F" w:rsidP="000F6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7F" w:rsidRDefault="000F6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C3296"/>
    <w:multiLevelType w:val="hybridMultilevel"/>
    <w:tmpl w:val="AC28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265DF"/>
    <w:multiLevelType w:val="hybridMultilevel"/>
    <w:tmpl w:val="C136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EC"/>
    <w:rsid w:val="00012D65"/>
    <w:rsid w:val="00031010"/>
    <w:rsid w:val="000D1A6C"/>
    <w:rsid w:val="000F6B7F"/>
    <w:rsid w:val="00222AB9"/>
    <w:rsid w:val="002863CC"/>
    <w:rsid w:val="002C6A60"/>
    <w:rsid w:val="002F69F3"/>
    <w:rsid w:val="00313CDB"/>
    <w:rsid w:val="003502F0"/>
    <w:rsid w:val="00365EAA"/>
    <w:rsid w:val="003A5DEC"/>
    <w:rsid w:val="004F3C4F"/>
    <w:rsid w:val="005D6863"/>
    <w:rsid w:val="005F5D79"/>
    <w:rsid w:val="006139F9"/>
    <w:rsid w:val="0080217C"/>
    <w:rsid w:val="008E026F"/>
    <w:rsid w:val="009B2545"/>
    <w:rsid w:val="009F40ED"/>
    <w:rsid w:val="00A0252F"/>
    <w:rsid w:val="00A33359"/>
    <w:rsid w:val="00AD4D60"/>
    <w:rsid w:val="00C02953"/>
    <w:rsid w:val="00C73B10"/>
    <w:rsid w:val="00CA3EDB"/>
    <w:rsid w:val="00D51F10"/>
    <w:rsid w:val="00E0308F"/>
    <w:rsid w:val="00E3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57520-1590-496C-9018-F9862E88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08F"/>
    <w:pPr>
      <w:spacing w:after="0" w:line="240" w:lineRule="auto"/>
    </w:pPr>
  </w:style>
  <w:style w:type="paragraph" w:styleId="BalloonText">
    <w:name w:val="Balloon Text"/>
    <w:basedOn w:val="Normal"/>
    <w:link w:val="BalloonTextChar"/>
    <w:uiPriority w:val="99"/>
    <w:semiHidden/>
    <w:unhideWhenUsed/>
    <w:rsid w:val="00CA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DB"/>
    <w:rPr>
      <w:rFonts w:ascii="Segoe UI" w:hAnsi="Segoe UI" w:cs="Segoe UI"/>
      <w:sz w:val="18"/>
      <w:szCs w:val="18"/>
    </w:rPr>
  </w:style>
  <w:style w:type="paragraph" w:styleId="Header">
    <w:name w:val="header"/>
    <w:basedOn w:val="Normal"/>
    <w:link w:val="HeaderChar"/>
    <w:uiPriority w:val="99"/>
    <w:unhideWhenUsed/>
    <w:rsid w:val="000F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B7F"/>
  </w:style>
  <w:style w:type="paragraph" w:styleId="Footer">
    <w:name w:val="footer"/>
    <w:basedOn w:val="Normal"/>
    <w:link w:val="FooterChar"/>
    <w:uiPriority w:val="99"/>
    <w:unhideWhenUsed/>
    <w:rsid w:val="000F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B7F"/>
  </w:style>
  <w:style w:type="character" w:styleId="CommentReference">
    <w:name w:val="annotation reference"/>
    <w:basedOn w:val="DefaultParagraphFont"/>
    <w:uiPriority w:val="99"/>
    <w:semiHidden/>
    <w:unhideWhenUsed/>
    <w:rsid w:val="00365EAA"/>
    <w:rPr>
      <w:sz w:val="16"/>
      <w:szCs w:val="16"/>
    </w:rPr>
  </w:style>
  <w:style w:type="paragraph" w:styleId="CommentText">
    <w:name w:val="annotation text"/>
    <w:basedOn w:val="Normal"/>
    <w:link w:val="CommentTextChar"/>
    <w:uiPriority w:val="99"/>
    <w:semiHidden/>
    <w:unhideWhenUsed/>
    <w:rsid w:val="00365EAA"/>
    <w:pPr>
      <w:spacing w:line="240" w:lineRule="auto"/>
    </w:pPr>
    <w:rPr>
      <w:sz w:val="20"/>
      <w:szCs w:val="20"/>
    </w:rPr>
  </w:style>
  <w:style w:type="character" w:customStyle="1" w:styleId="CommentTextChar">
    <w:name w:val="Comment Text Char"/>
    <w:basedOn w:val="DefaultParagraphFont"/>
    <w:link w:val="CommentText"/>
    <w:uiPriority w:val="99"/>
    <w:semiHidden/>
    <w:rsid w:val="00365EAA"/>
    <w:rPr>
      <w:sz w:val="20"/>
      <w:szCs w:val="20"/>
    </w:rPr>
  </w:style>
  <w:style w:type="paragraph" w:styleId="CommentSubject">
    <w:name w:val="annotation subject"/>
    <w:basedOn w:val="CommentText"/>
    <w:next w:val="CommentText"/>
    <w:link w:val="CommentSubjectChar"/>
    <w:uiPriority w:val="99"/>
    <w:semiHidden/>
    <w:unhideWhenUsed/>
    <w:rsid w:val="00365EAA"/>
    <w:rPr>
      <w:b/>
      <w:bCs/>
    </w:rPr>
  </w:style>
  <w:style w:type="character" w:customStyle="1" w:styleId="CommentSubjectChar">
    <w:name w:val="Comment Subject Char"/>
    <w:basedOn w:val="CommentTextChar"/>
    <w:link w:val="CommentSubject"/>
    <w:uiPriority w:val="99"/>
    <w:semiHidden/>
    <w:rsid w:val="00365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Gografe</dc:creator>
  <cp:lastModifiedBy>Sylvia Gografe</cp:lastModifiedBy>
  <cp:revision>3</cp:revision>
  <cp:lastPrinted>2016-08-22T20:06:00Z</cp:lastPrinted>
  <dcterms:created xsi:type="dcterms:W3CDTF">2016-08-22T22:12:00Z</dcterms:created>
  <dcterms:modified xsi:type="dcterms:W3CDTF">2016-08-22T22:16:00Z</dcterms:modified>
</cp:coreProperties>
</file>