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52" w:rsidRDefault="000D67C7" w:rsidP="00D34E52">
      <w:pPr>
        <w:rPr>
          <w:rFonts w:eastAsia="Times New Roman" w:cstheme="minorHAnsi"/>
          <w:b/>
          <w:color w:val="000000"/>
        </w:rPr>
      </w:pPr>
      <w:r w:rsidRPr="00697CCA">
        <w:rPr>
          <w:rFonts w:eastAsia="Times New Roman" w:cstheme="minorHAnsi"/>
          <w:b/>
          <w:color w:val="000000"/>
        </w:rPr>
        <w:t xml:space="preserve">LIN 6107:  </w:t>
      </w:r>
      <w:r w:rsidR="00D34E52" w:rsidRPr="00697CCA">
        <w:rPr>
          <w:rFonts w:eastAsia="Times New Roman" w:cstheme="minorHAnsi"/>
          <w:b/>
          <w:color w:val="000000"/>
        </w:rPr>
        <w:t>History of the English Language</w:t>
      </w:r>
    </w:p>
    <w:p w:rsidR="00D80FAB" w:rsidRPr="00697CCA" w:rsidRDefault="00D80FAB" w:rsidP="00D34E52">
      <w:pPr>
        <w:rPr>
          <w:rFonts w:eastAsia="Times New Roman" w:cstheme="minorHAnsi"/>
          <w:b/>
          <w:color w:val="000000"/>
        </w:rPr>
      </w:pPr>
      <w:r>
        <w:rPr>
          <w:rFonts w:eastAsia="Times New Roman" w:cstheme="minorHAnsi"/>
          <w:b/>
          <w:color w:val="000000"/>
        </w:rPr>
        <w:t>Professor Carla Thomas</w:t>
      </w:r>
      <w:bookmarkStart w:id="0" w:name="_GoBack"/>
      <w:bookmarkEnd w:id="0"/>
    </w:p>
    <w:p w:rsidR="00D34E52" w:rsidRPr="00697CCA" w:rsidRDefault="00D34E52" w:rsidP="00D34E52">
      <w:pPr>
        <w:rPr>
          <w:rFonts w:eastAsia="Times New Roman" w:cstheme="minorHAnsi"/>
          <w:color w:val="000000"/>
        </w:rPr>
      </w:pPr>
    </w:p>
    <w:p w:rsidR="00697CCA" w:rsidRPr="00697CCA" w:rsidRDefault="00697CCA" w:rsidP="00D34E52">
      <w:pPr>
        <w:rPr>
          <w:rFonts w:eastAsia="Times New Roman" w:cstheme="minorHAnsi"/>
        </w:rPr>
      </w:pPr>
      <w:r w:rsidRPr="00697CCA">
        <w:rPr>
          <w:rFonts w:eastAsia="Times New Roman" w:cstheme="minorHAnsi"/>
          <w:i/>
          <w:color w:val="000000"/>
        </w:rPr>
        <w:t>This course c</w:t>
      </w:r>
      <w:r w:rsidRPr="00697CCA">
        <w:rPr>
          <w:rFonts w:eastAsia="Times New Roman" w:cstheme="minorHAnsi"/>
          <w:i/>
        </w:rPr>
        <w:t>ounts as an elective and can satisfy the foreign language requirement</w:t>
      </w:r>
    </w:p>
    <w:p w:rsidR="00E237AD" w:rsidRPr="00697CCA" w:rsidRDefault="00D80FAB">
      <w:pPr>
        <w:rPr>
          <w:rFonts w:cstheme="minorHAnsi"/>
        </w:rPr>
      </w:pPr>
    </w:p>
    <w:p w:rsidR="00D34E52" w:rsidRPr="00697CCA" w:rsidRDefault="00D34E52">
      <w:pPr>
        <w:rPr>
          <w:rFonts w:cstheme="minorHAnsi"/>
          <w:b/>
        </w:rPr>
      </w:pPr>
      <w:r w:rsidRPr="00697CCA">
        <w:rPr>
          <w:rFonts w:cstheme="minorHAnsi"/>
          <w:b/>
        </w:rPr>
        <w:t>LIT 6105: Violence and the Spiritual Imagination in Caribbean Literature</w:t>
      </w:r>
    </w:p>
    <w:p w:rsidR="00D34E52" w:rsidRPr="00697CCA" w:rsidRDefault="00D34E52">
      <w:pPr>
        <w:rPr>
          <w:rFonts w:cstheme="minorHAnsi"/>
          <w:b/>
        </w:rPr>
      </w:pPr>
      <w:r w:rsidRPr="00697CCA">
        <w:rPr>
          <w:rFonts w:cstheme="minorHAnsi"/>
          <w:b/>
        </w:rPr>
        <w:t xml:space="preserve">Professor Stacey </w:t>
      </w:r>
      <w:proofErr w:type="spellStart"/>
      <w:r w:rsidRPr="00697CCA">
        <w:rPr>
          <w:rFonts w:cstheme="minorHAnsi"/>
          <w:b/>
        </w:rPr>
        <w:t>Lettman</w:t>
      </w:r>
      <w:proofErr w:type="spellEnd"/>
    </w:p>
    <w:p w:rsidR="00D34E52" w:rsidRPr="00697CCA" w:rsidRDefault="00D34E52">
      <w:pPr>
        <w:rPr>
          <w:rFonts w:cstheme="minorHAnsi"/>
        </w:rPr>
      </w:pPr>
    </w:p>
    <w:p w:rsidR="00D34E52" w:rsidRPr="00697CCA" w:rsidRDefault="00D34E52" w:rsidP="00D34E52">
      <w:pPr>
        <w:rPr>
          <w:rFonts w:cstheme="minorHAnsi"/>
        </w:rPr>
      </w:pPr>
      <w:r w:rsidRPr="00697CCA">
        <w:rPr>
          <w:rFonts w:cstheme="minorHAnsi"/>
        </w:rPr>
        <w:t xml:space="preserve">This class will focus on literary texts from the Caribbean that speak to the intersections between violence and the spiritual imagination of African slaves and their descendants. While the core of our assigned readings will be literary texts, we’ll take an interdisciplinary approach to include texts from religion, sociology, psychoanalysis, history, music, and film. We will look at the politics of Voodoo, Obeah, Rastafari, and other African-derived spiritual practices in the Caribbean, along with their revolutionary potential in the face of relentless violence, as we’ll see in </w:t>
      </w:r>
      <w:proofErr w:type="spellStart"/>
      <w:r w:rsidRPr="00697CCA">
        <w:rPr>
          <w:rFonts w:cstheme="minorHAnsi"/>
        </w:rPr>
        <w:t>Aime</w:t>
      </w:r>
      <w:proofErr w:type="spellEnd"/>
      <w:r w:rsidRPr="00697CCA">
        <w:rPr>
          <w:rFonts w:cstheme="minorHAnsi"/>
        </w:rPr>
        <w:t xml:space="preserve"> </w:t>
      </w:r>
      <w:proofErr w:type="spellStart"/>
      <w:r w:rsidRPr="00697CCA">
        <w:rPr>
          <w:rFonts w:cstheme="minorHAnsi"/>
        </w:rPr>
        <w:t>Cesaire’s</w:t>
      </w:r>
      <w:proofErr w:type="spellEnd"/>
      <w:r w:rsidRPr="00697CCA">
        <w:rPr>
          <w:rFonts w:cstheme="minorHAnsi"/>
        </w:rPr>
        <w:t xml:space="preserve"> </w:t>
      </w:r>
      <w:r w:rsidRPr="00697CCA">
        <w:rPr>
          <w:rFonts w:cstheme="minorHAnsi"/>
          <w:i/>
        </w:rPr>
        <w:t>A Tempest</w:t>
      </w:r>
      <w:r w:rsidRPr="00697CCA">
        <w:rPr>
          <w:rFonts w:cstheme="minorHAnsi"/>
        </w:rPr>
        <w:t xml:space="preserve"> and </w:t>
      </w:r>
      <w:proofErr w:type="spellStart"/>
      <w:r w:rsidRPr="00697CCA">
        <w:rPr>
          <w:rFonts w:cstheme="minorHAnsi"/>
        </w:rPr>
        <w:t>Alejo</w:t>
      </w:r>
      <w:proofErr w:type="spellEnd"/>
      <w:r w:rsidRPr="00697CCA">
        <w:rPr>
          <w:rFonts w:cstheme="minorHAnsi"/>
        </w:rPr>
        <w:t xml:space="preserve"> </w:t>
      </w:r>
      <w:proofErr w:type="spellStart"/>
      <w:r w:rsidRPr="00697CCA">
        <w:rPr>
          <w:rFonts w:cstheme="minorHAnsi"/>
        </w:rPr>
        <w:t>Carpentier’s</w:t>
      </w:r>
      <w:proofErr w:type="spellEnd"/>
      <w:r w:rsidRPr="00697CCA">
        <w:rPr>
          <w:rFonts w:cstheme="minorHAnsi"/>
        </w:rPr>
        <w:t xml:space="preserve"> </w:t>
      </w:r>
      <w:r w:rsidRPr="00697CCA">
        <w:rPr>
          <w:rFonts w:cstheme="minorHAnsi"/>
          <w:i/>
        </w:rPr>
        <w:t>The Kingdom of This World</w:t>
      </w:r>
      <w:r w:rsidRPr="00697CCA">
        <w:rPr>
          <w:rFonts w:cstheme="minorHAnsi"/>
        </w:rPr>
        <w:t xml:space="preserve">. Frantz Fanon’s </w:t>
      </w:r>
      <w:r w:rsidRPr="00697CCA">
        <w:rPr>
          <w:rFonts w:cstheme="minorHAnsi"/>
          <w:i/>
        </w:rPr>
        <w:t>The Wretched of the Earth</w:t>
      </w:r>
      <w:r w:rsidRPr="00697CCA">
        <w:rPr>
          <w:rFonts w:cstheme="minorHAnsi"/>
        </w:rPr>
        <w:t xml:space="preserve"> and René Girard’s </w:t>
      </w:r>
      <w:r w:rsidRPr="00697CCA">
        <w:rPr>
          <w:rFonts w:cstheme="minorHAnsi"/>
          <w:i/>
        </w:rPr>
        <w:t>Violence and the Sacred</w:t>
      </w:r>
      <w:r w:rsidRPr="00697CCA">
        <w:rPr>
          <w:rFonts w:cstheme="minorHAnsi"/>
        </w:rPr>
        <w:t xml:space="preserve"> will serve as the theoretical foundations for our understanding of the literary texts.  We’ll investigate nineteenth-century colonial perception of African-derived religions in William Earle’s </w:t>
      </w:r>
      <w:r w:rsidRPr="00697CCA">
        <w:rPr>
          <w:rFonts w:cstheme="minorHAnsi"/>
          <w:i/>
        </w:rPr>
        <w:t>The Obi, or Three Fingered Jack as</w:t>
      </w:r>
      <w:r w:rsidRPr="00697CCA">
        <w:rPr>
          <w:rFonts w:cstheme="minorHAnsi"/>
        </w:rPr>
        <w:t xml:space="preserve"> well as revisionist writing from M. </w:t>
      </w:r>
      <w:proofErr w:type="spellStart"/>
      <w:r w:rsidRPr="00697CCA">
        <w:rPr>
          <w:rFonts w:cstheme="minorHAnsi"/>
        </w:rPr>
        <w:t>Nourbese</w:t>
      </w:r>
      <w:proofErr w:type="spellEnd"/>
      <w:r w:rsidRPr="00697CCA">
        <w:rPr>
          <w:rFonts w:cstheme="minorHAnsi"/>
        </w:rPr>
        <w:t xml:space="preserve"> Philip to contemporary accounts about the neocolonial era from </w:t>
      </w:r>
      <w:proofErr w:type="spellStart"/>
      <w:r w:rsidRPr="00697CCA">
        <w:rPr>
          <w:rFonts w:cstheme="minorHAnsi"/>
        </w:rPr>
        <w:t>Edwidge</w:t>
      </w:r>
      <w:proofErr w:type="spellEnd"/>
      <w:r w:rsidRPr="00697CCA">
        <w:rPr>
          <w:rFonts w:cstheme="minorHAnsi"/>
        </w:rPr>
        <w:t xml:space="preserve"> Danticat, Marlon James, and others. </w:t>
      </w:r>
    </w:p>
    <w:p w:rsidR="00697CCA" w:rsidRPr="00697CCA" w:rsidRDefault="00697CCA" w:rsidP="00697CCA">
      <w:pPr>
        <w:rPr>
          <w:rFonts w:eastAsia="Times New Roman" w:cstheme="minorHAnsi"/>
          <w:shd w:val="clear" w:color="auto" w:fill="FFFFFF"/>
        </w:rPr>
      </w:pPr>
      <w:r w:rsidRPr="00697CCA">
        <w:rPr>
          <w:rStyle w:val="Emphasis"/>
          <w:rFonts w:eastAsia="Times New Roman" w:cstheme="minorHAnsi"/>
        </w:rPr>
        <w:t>This course counts toward the Multicultural &amp; World Literature concentration</w:t>
      </w:r>
    </w:p>
    <w:p w:rsidR="00D34E52" w:rsidRPr="00697CCA" w:rsidRDefault="00D34E52">
      <w:pPr>
        <w:rPr>
          <w:rFonts w:cstheme="minorHAnsi"/>
        </w:rPr>
      </w:pPr>
    </w:p>
    <w:p w:rsidR="000D67C7" w:rsidRPr="00697CCA" w:rsidRDefault="000D67C7" w:rsidP="000D67C7">
      <w:pPr>
        <w:rPr>
          <w:rFonts w:eastAsia="Times New Roman" w:cstheme="minorHAnsi"/>
          <w:b/>
          <w:color w:val="000000"/>
        </w:rPr>
      </w:pPr>
      <w:r w:rsidRPr="00697CCA">
        <w:rPr>
          <w:rFonts w:eastAsia="Times New Roman" w:cstheme="minorHAnsi"/>
          <w:b/>
          <w:color w:val="000000"/>
        </w:rPr>
        <w:t xml:space="preserve">AML 6938:  Citizenship in Times of Crisis: Contested Legalities in </w:t>
      </w:r>
      <w:proofErr w:type="spellStart"/>
      <w:r w:rsidRPr="00697CCA">
        <w:rPr>
          <w:rFonts w:eastAsia="Times New Roman" w:cstheme="minorHAnsi"/>
          <w:b/>
          <w:color w:val="000000"/>
        </w:rPr>
        <w:t>Latinx</w:t>
      </w:r>
      <w:proofErr w:type="spellEnd"/>
      <w:r w:rsidRPr="00697CCA">
        <w:rPr>
          <w:rFonts w:eastAsia="Times New Roman" w:cstheme="minorHAnsi"/>
          <w:b/>
          <w:color w:val="000000"/>
        </w:rPr>
        <w:t xml:space="preserve"> Literatures and Cultures</w:t>
      </w:r>
    </w:p>
    <w:p w:rsidR="000D67C7" w:rsidRPr="00697CCA" w:rsidRDefault="000D67C7" w:rsidP="000D67C7">
      <w:pPr>
        <w:rPr>
          <w:rFonts w:eastAsia="Times New Roman" w:cstheme="minorHAnsi"/>
          <w:b/>
        </w:rPr>
      </w:pPr>
      <w:r w:rsidRPr="00697CCA">
        <w:rPr>
          <w:rFonts w:eastAsia="Times New Roman" w:cstheme="minorHAnsi"/>
          <w:b/>
          <w:color w:val="000000"/>
        </w:rPr>
        <w:t>Professor José de la Garza Valenzuela</w:t>
      </w:r>
    </w:p>
    <w:p w:rsidR="000D67C7" w:rsidRPr="00697CCA" w:rsidRDefault="000D67C7" w:rsidP="000D67C7">
      <w:pPr>
        <w:rPr>
          <w:rFonts w:eastAsia="Times New Roman" w:cstheme="minorHAnsi"/>
          <w:color w:val="000000"/>
        </w:rPr>
      </w:pPr>
      <w:r w:rsidRPr="00697CCA">
        <w:rPr>
          <w:rFonts w:eastAsia="Times New Roman" w:cstheme="minorHAnsi"/>
          <w:color w:val="000000"/>
        </w:rPr>
        <w:t> </w:t>
      </w:r>
    </w:p>
    <w:p w:rsidR="000D67C7" w:rsidRPr="00697CCA" w:rsidRDefault="000D67C7" w:rsidP="000D67C7">
      <w:pPr>
        <w:rPr>
          <w:rFonts w:eastAsia="Times New Roman" w:cstheme="minorHAnsi"/>
          <w:color w:val="000000"/>
        </w:rPr>
      </w:pPr>
      <w:r w:rsidRPr="00697CCA">
        <w:rPr>
          <w:rFonts w:eastAsia="Times New Roman" w:cstheme="minorHAnsi"/>
          <w:color w:val="000000"/>
        </w:rPr>
        <w:t>Following the recent termination of the Deferred Action for Childhood Arrivals (DACA) policy and Temporary Protected Status (TPS) as a classification, discourses regarding </w:t>
      </w:r>
      <w:proofErr w:type="spellStart"/>
      <w:r w:rsidRPr="00697CCA">
        <w:rPr>
          <w:rFonts w:eastAsia="Times New Roman" w:cstheme="minorHAnsi"/>
          <w:color w:val="000000"/>
        </w:rPr>
        <w:t>Latinx</w:t>
      </w:r>
      <w:proofErr w:type="spellEnd"/>
      <w:r w:rsidRPr="00697CCA">
        <w:rPr>
          <w:rFonts w:eastAsia="Times New Roman" w:cstheme="minorHAnsi"/>
          <w:color w:val="000000"/>
        </w:rPr>
        <w:t xml:space="preserve"> identity and migration have clustered around the legality and permanence of membership in the nation. Citizenship, as a category of both legal and cultural belonging, has been a persistent theme in cultural production by people of </w:t>
      </w:r>
      <w:proofErr w:type="spellStart"/>
      <w:r w:rsidRPr="00697CCA">
        <w:rPr>
          <w:rFonts w:eastAsia="Times New Roman" w:cstheme="minorHAnsi"/>
          <w:color w:val="000000"/>
        </w:rPr>
        <w:t>Latinx</w:t>
      </w:r>
      <w:proofErr w:type="spellEnd"/>
      <w:r w:rsidRPr="00697CCA">
        <w:rPr>
          <w:rFonts w:eastAsia="Times New Roman" w:cstheme="minorHAnsi"/>
          <w:color w:val="000000"/>
        </w:rPr>
        <w:t xml:space="preserve"> descent over the past century, ranging from early texts like </w:t>
      </w:r>
      <w:proofErr w:type="spellStart"/>
      <w:r w:rsidRPr="00697CCA">
        <w:rPr>
          <w:rFonts w:eastAsia="Times New Roman" w:cstheme="minorHAnsi"/>
          <w:color w:val="000000"/>
        </w:rPr>
        <w:t>María</w:t>
      </w:r>
      <w:proofErr w:type="spellEnd"/>
      <w:r w:rsidRPr="00697CCA">
        <w:rPr>
          <w:rFonts w:eastAsia="Times New Roman" w:cstheme="minorHAnsi"/>
          <w:color w:val="000000"/>
        </w:rPr>
        <w:t xml:space="preserve"> </w:t>
      </w:r>
      <w:proofErr w:type="spellStart"/>
      <w:r w:rsidRPr="00697CCA">
        <w:rPr>
          <w:rFonts w:eastAsia="Times New Roman" w:cstheme="minorHAnsi"/>
          <w:color w:val="000000"/>
        </w:rPr>
        <w:t>Amparo</w:t>
      </w:r>
      <w:proofErr w:type="spellEnd"/>
      <w:r w:rsidRPr="00697CCA">
        <w:rPr>
          <w:rFonts w:eastAsia="Times New Roman" w:cstheme="minorHAnsi"/>
          <w:color w:val="000000"/>
        </w:rPr>
        <w:t xml:space="preserve"> Ruiz de Burton’s 1885 novel </w:t>
      </w:r>
      <w:r w:rsidRPr="00697CCA">
        <w:rPr>
          <w:rFonts w:eastAsia="Times New Roman" w:cstheme="minorHAnsi"/>
          <w:i/>
          <w:iCs/>
          <w:color w:val="000000"/>
        </w:rPr>
        <w:t>The Squatter and the Don</w:t>
      </w:r>
      <w:r w:rsidRPr="00697CCA">
        <w:rPr>
          <w:rFonts w:eastAsia="Times New Roman" w:cstheme="minorHAnsi"/>
          <w:color w:val="000000"/>
        </w:rPr>
        <w:t xml:space="preserve"> and José </w:t>
      </w:r>
      <w:proofErr w:type="spellStart"/>
      <w:r w:rsidRPr="00697CCA">
        <w:rPr>
          <w:rFonts w:eastAsia="Times New Roman" w:cstheme="minorHAnsi"/>
          <w:color w:val="000000"/>
        </w:rPr>
        <w:t>Martí’s</w:t>
      </w:r>
      <w:proofErr w:type="spellEnd"/>
      <w:r w:rsidRPr="00697CCA">
        <w:rPr>
          <w:rFonts w:eastAsia="Times New Roman" w:cstheme="minorHAnsi"/>
          <w:color w:val="000000"/>
        </w:rPr>
        <w:t xml:space="preserve"> 1891’s </w:t>
      </w:r>
      <w:r w:rsidRPr="00697CCA">
        <w:rPr>
          <w:rFonts w:eastAsia="Times New Roman" w:cstheme="minorHAnsi"/>
          <w:i/>
          <w:iCs/>
          <w:color w:val="000000"/>
        </w:rPr>
        <w:t>Our America</w:t>
      </w:r>
      <w:r w:rsidRPr="00697CCA">
        <w:rPr>
          <w:rFonts w:eastAsia="Times New Roman" w:cstheme="minorHAnsi"/>
          <w:color w:val="000000"/>
        </w:rPr>
        <w:t xml:space="preserve"> to contemporary texts such as Jaime Cortez’s graphic novel </w:t>
      </w:r>
      <w:proofErr w:type="spellStart"/>
      <w:r w:rsidRPr="00697CCA">
        <w:rPr>
          <w:rFonts w:eastAsia="Times New Roman" w:cstheme="minorHAnsi"/>
          <w:i/>
          <w:iCs/>
          <w:color w:val="000000"/>
        </w:rPr>
        <w:t>Sexile</w:t>
      </w:r>
      <w:proofErr w:type="spellEnd"/>
      <w:r w:rsidRPr="00697CCA">
        <w:rPr>
          <w:rFonts w:eastAsia="Times New Roman" w:cstheme="minorHAnsi"/>
          <w:color w:val="000000"/>
        </w:rPr>
        <w:t xml:space="preserve">, and Salvador </w:t>
      </w:r>
      <w:proofErr w:type="spellStart"/>
      <w:r w:rsidRPr="00697CCA">
        <w:rPr>
          <w:rFonts w:eastAsia="Times New Roman" w:cstheme="minorHAnsi"/>
          <w:color w:val="000000"/>
        </w:rPr>
        <w:t>Plascencia’s</w:t>
      </w:r>
      <w:proofErr w:type="spellEnd"/>
      <w:r w:rsidRPr="00697CCA">
        <w:rPr>
          <w:rFonts w:eastAsia="Times New Roman" w:cstheme="minorHAnsi"/>
          <w:color w:val="000000"/>
        </w:rPr>
        <w:t xml:space="preserve"> experimental novel </w:t>
      </w:r>
      <w:r w:rsidRPr="00697CCA">
        <w:rPr>
          <w:rFonts w:eastAsia="Times New Roman" w:cstheme="minorHAnsi"/>
          <w:i/>
          <w:iCs/>
          <w:color w:val="000000"/>
        </w:rPr>
        <w:t>The People of Paper</w:t>
      </w:r>
      <w:r w:rsidRPr="00697CCA">
        <w:rPr>
          <w:rFonts w:eastAsia="Times New Roman" w:cstheme="minorHAnsi"/>
          <w:color w:val="000000"/>
        </w:rPr>
        <w:t xml:space="preserve">. Throughout the term, we will interrogate the ways belonging—the lack and/or prospect of it—has animated representations of family, community, and nation in relationship to gender, sexuality, migration, and capital in </w:t>
      </w:r>
      <w:proofErr w:type="spellStart"/>
      <w:r w:rsidRPr="00697CCA">
        <w:rPr>
          <w:rFonts w:eastAsia="Times New Roman" w:cstheme="minorHAnsi"/>
          <w:color w:val="000000"/>
        </w:rPr>
        <w:t>Latinx</w:t>
      </w:r>
      <w:proofErr w:type="spellEnd"/>
      <w:r w:rsidRPr="00697CCA">
        <w:rPr>
          <w:rFonts w:eastAsia="Times New Roman" w:cstheme="minorHAnsi"/>
          <w:color w:val="000000"/>
        </w:rPr>
        <w:t xml:space="preserve"> literatures. We will then consider how these notions of belonging engage with how citizenship is </w:t>
      </w:r>
      <w:r w:rsidRPr="00697CCA">
        <w:rPr>
          <w:rFonts w:eastAsia="Times New Roman" w:cstheme="minorHAnsi"/>
          <w:i/>
          <w:iCs/>
          <w:color w:val="000000"/>
        </w:rPr>
        <w:t>legally</w:t>
      </w:r>
      <w:r w:rsidRPr="00697CCA">
        <w:rPr>
          <w:rFonts w:eastAsia="Times New Roman" w:cstheme="minorHAnsi"/>
          <w:color w:val="000000"/>
        </w:rPr>
        <w:t xml:space="preserve"> imagined by the state and </w:t>
      </w:r>
      <w:r w:rsidRPr="00697CCA">
        <w:rPr>
          <w:rFonts w:eastAsia="Times New Roman" w:cstheme="minorHAnsi"/>
          <w:i/>
          <w:iCs/>
          <w:color w:val="000000"/>
        </w:rPr>
        <w:t>culturally</w:t>
      </w:r>
      <w:r w:rsidRPr="00697CCA">
        <w:rPr>
          <w:rFonts w:eastAsia="Times New Roman" w:cstheme="minorHAnsi"/>
          <w:color w:val="000000"/>
        </w:rPr>
        <w:t xml:space="preserve"> imagined by social movements and advocacy groups.  The course will historically range from late 19</w:t>
      </w:r>
      <w:r w:rsidRPr="00697CCA">
        <w:rPr>
          <w:rFonts w:eastAsia="Times New Roman" w:cstheme="minorHAnsi"/>
          <w:color w:val="000000"/>
          <w:sz w:val="20"/>
          <w:szCs w:val="20"/>
          <w:vertAlign w:val="superscript"/>
        </w:rPr>
        <w:t>th</w:t>
      </w:r>
      <w:r w:rsidRPr="00697CCA">
        <w:rPr>
          <w:rFonts w:eastAsia="Times New Roman" w:cstheme="minorHAnsi"/>
          <w:color w:val="000000"/>
        </w:rPr>
        <w:t xml:space="preserve"> century to the present day considering emerging </w:t>
      </w:r>
      <w:proofErr w:type="spellStart"/>
      <w:r w:rsidRPr="00697CCA">
        <w:rPr>
          <w:rFonts w:eastAsia="Times New Roman" w:cstheme="minorHAnsi"/>
          <w:color w:val="000000"/>
        </w:rPr>
        <w:t>Latinx</w:t>
      </w:r>
      <w:proofErr w:type="spellEnd"/>
      <w:r w:rsidRPr="00697CCA">
        <w:rPr>
          <w:rFonts w:eastAsia="Times New Roman" w:cstheme="minorHAnsi"/>
          <w:color w:val="000000"/>
        </w:rPr>
        <w:t xml:space="preserve"> movements in both the Southwest and the East Coast. The course will then consider writers from both </w:t>
      </w:r>
      <w:proofErr w:type="spellStart"/>
      <w:r w:rsidRPr="00697CCA">
        <w:rPr>
          <w:rFonts w:eastAsia="Times New Roman" w:cstheme="minorHAnsi"/>
          <w:color w:val="000000"/>
        </w:rPr>
        <w:t>Chicanx</w:t>
      </w:r>
      <w:proofErr w:type="spellEnd"/>
      <w:r w:rsidRPr="00697CCA">
        <w:rPr>
          <w:rFonts w:eastAsia="Times New Roman" w:cstheme="minorHAnsi"/>
          <w:color w:val="000000"/>
        </w:rPr>
        <w:t xml:space="preserve">/Mexican American cultural and historical traditions, but also authors of central American, Cuban, and Puerto Rican descent. </w:t>
      </w:r>
    </w:p>
    <w:p w:rsidR="00697CCA" w:rsidRPr="00697CCA" w:rsidRDefault="00697CCA" w:rsidP="00697CCA">
      <w:pPr>
        <w:rPr>
          <w:rFonts w:eastAsia="Times New Roman" w:cstheme="minorHAnsi"/>
          <w:shd w:val="clear" w:color="auto" w:fill="FFFFFF"/>
        </w:rPr>
      </w:pPr>
      <w:r w:rsidRPr="00697CCA">
        <w:rPr>
          <w:rStyle w:val="Emphasis"/>
          <w:rFonts w:eastAsia="Times New Roman" w:cstheme="minorHAnsi"/>
        </w:rPr>
        <w:t>This course counts toward the Multicultural &amp; World Literature concentration</w:t>
      </w:r>
    </w:p>
    <w:p w:rsidR="000D67C7" w:rsidRPr="00697CCA" w:rsidRDefault="000D67C7">
      <w:pPr>
        <w:rPr>
          <w:rFonts w:cstheme="minorHAnsi"/>
        </w:rPr>
      </w:pPr>
    </w:p>
    <w:p w:rsidR="006B32B1" w:rsidRPr="00697CCA" w:rsidRDefault="006B32B1">
      <w:pPr>
        <w:rPr>
          <w:rFonts w:cstheme="minorHAnsi"/>
          <w:b/>
        </w:rPr>
      </w:pPr>
    </w:p>
    <w:p w:rsidR="006B32B1" w:rsidRPr="00697CCA" w:rsidRDefault="006B32B1">
      <w:pPr>
        <w:rPr>
          <w:rFonts w:cstheme="minorHAnsi"/>
          <w:b/>
        </w:rPr>
      </w:pPr>
      <w:r w:rsidRPr="00697CCA">
        <w:rPr>
          <w:rFonts w:cstheme="minorHAnsi"/>
          <w:b/>
        </w:rPr>
        <w:t>LIT 6932: Theory of The Fantastic</w:t>
      </w:r>
    </w:p>
    <w:p w:rsidR="006B32B1" w:rsidRPr="00697CCA" w:rsidRDefault="006B32B1">
      <w:pPr>
        <w:rPr>
          <w:rFonts w:cstheme="minorHAnsi"/>
          <w:b/>
        </w:rPr>
      </w:pPr>
      <w:r w:rsidRPr="00697CCA">
        <w:rPr>
          <w:rFonts w:cstheme="minorHAnsi"/>
          <w:b/>
        </w:rPr>
        <w:t>Professor Thomas Martin</w:t>
      </w:r>
    </w:p>
    <w:p w:rsidR="009709AA" w:rsidRDefault="009709AA" w:rsidP="00697CCA">
      <w:pPr>
        <w:rPr>
          <w:rFonts w:eastAsia="Times New Roman" w:cstheme="minorHAnsi"/>
          <w:color w:val="000000"/>
        </w:rPr>
      </w:pPr>
    </w:p>
    <w:p w:rsidR="009709AA" w:rsidRPr="009709AA" w:rsidRDefault="009709AA" w:rsidP="009709AA">
      <w:pPr>
        <w:rPr>
          <w:rFonts w:eastAsia="Times New Roman" w:cstheme="minorHAnsi"/>
          <w:color w:val="000000"/>
        </w:rPr>
      </w:pPr>
      <w:r w:rsidRPr="009709AA">
        <w:rPr>
          <w:rFonts w:eastAsia="Times New Roman" w:cstheme="minorHAnsi"/>
          <w:color w:val="000000"/>
        </w:rPr>
        <w:t>Was Tolkien’s The Lord of the Rings, as one critic suggested, “</w:t>
      </w:r>
      <w:proofErr w:type="gramStart"/>
      <w:r w:rsidRPr="009709AA">
        <w:rPr>
          <w:rFonts w:eastAsia="Times New Roman" w:cstheme="minorHAnsi"/>
          <w:color w:val="000000"/>
        </w:rPr>
        <w:t>the</w:t>
      </w:r>
      <w:proofErr w:type="gramEnd"/>
      <w:r w:rsidRPr="009709AA">
        <w:rPr>
          <w:rFonts w:eastAsia="Times New Roman" w:cstheme="minorHAnsi"/>
          <w:color w:val="000000"/>
        </w:rPr>
        <w:t xml:space="preserve"> last literary masterpiece of the Middle Ages”? Besides being six hundred years out of date (ahem), is there anything else to recommend this literature to modern readers? Are there aspects that make the work unquestionably modern? Or perhaps the work is hopelessly escapist, Luddite, and nostalgic? </w:t>
      </w:r>
    </w:p>
    <w:p w:rsidR="009709AA" w:rsidRPr="009709AA" w:rsidRDefault="009709AA" w:rsidP="009709AA">
      <w:pPr>
        <w:rPr>
          <w:rFonts w:eastAsia="Times New Roman" w:cstheme="minorHAnsi"/>
          <w:color w:val="000000"/>
        </w:rPr>
      </w:pPr>
    </w:p>
    <w:p w:rsidR="009709AA" w:rsidRPr="009709AA" w:rsidRDefault="009709AA" w:rsidP="009709AA">
      <w:pPr>
        <w:rPr>
          <w:rFonts w:eastAsia="Times New Roman" w:cstheme="minorHAnsi"/>
          <w:color w:val="000000"/>
        </w:rPr>
      </w:pPr>
      <w:r w:rsidRPr="009709AA">
        <w:rPr>
          <w:rFonts w:eastAsia="Times New Roman" w:cstheme="minorHAnsi"/>
          <w:color w:val="000000"/>
        </w:rPr>
        <w:t>Whatever else we say about it, Tolkien’s novel and others like it started a literary revolution. While the canons of realism held strong for many decades, fantasy writers insisted they had something important to say, and readers in the ensuing generations agreed. Professional critics alternately lauded the new literature and resisted, and among the resisters were those who went well beyond the kind of backhanded compliment above. Many relegated it to an inferior class of writing, and it was treated as something of an embarrassment in libraries, bookstores, and academic conferences and curricula.</w:t>
      </w:r>
    </w:p>
    <w:p w:rsidR="009709AA" w:rsidRPr="009709AA" w:rsidRDefault="009709AA" w:rsidP="009709AA">
      <w:pPr>
        <w:rPr>
          <w:rFonts w:eastAsia="Times New Roman" w:cstheme="minorHAnsi"/>
          <w:color w:val="000000"/>
        </w:rPr>
      </w:pPr>
    </w:p>
    <w:p w:rsidR="009709AA" w:rsidRPr="009709AA" w:rsidRDefault="009709AA" w:rsidP="009709AA">
      <w:pPr>
        <w:rPr>
          <w:rFonts w:eastAsia="Times New Roman" w:cstheme="minorHAnsi"/>
          <w:color w:val="000000"/>
        </w:rPr>
      </w:pPr>
      <w:r w:rsidRPr="009709AA">
        <w:rPr>
          <w:rFonts w:eastAsia="Times New Roman" w:cstheme="minorHAnsi"/>
          <w:color w:val="000000"/>
        </w:rPr>
        <w:t xml:space="preserve">Meanwhile, the body of literature grew, and along with it grew a well-articulated rationale for the new narrative </w:t>
      </w:r>
      <w:proofErr w:type="spellStart"/>
      <w:r w:rsidRPr="009709AA">
        <w:rPr>
          <w:rFonts w:eastAsia="Times New Roman" w:cstheme="minorHAnsi"/>
          <w:color w:val="000000"/>
        </w:rPr>
        <w:t>artform</w:t>
      </w:r>
      <w:proofErr w:type="spellEnd"/>
      <w:r w:rsidRPr="009709AA">
        <w:rPr>
          <w:rFonts w:eastAsia="Times New Roman" w:cstheme="minorHAnsi"/>
          <w:color w:val="000000"/>
        </w:rPr>
        <w:t xml:space="preserve">. Literary theorists have been slow to follow suit, for reasons we will explore. At the same time that few theorists set their sights on this literature, fantasy writers themselves accounted for the literature not only in formal and prefatory defenses, but also in fascinating and nuanced ways within the literature itself. This course will explore all these accounts of fantasy literature, from the traditional apologia to the </w:t>
      </w:r>
      <w:proofErr w:type="spellStart"/>
      <w:r w:rsidRPr="009709AA">
        <w:rPr>
          <w:rFonts w:eastAsia="Times New Roman" w:cstheme="minorHAnsi"/>
          <w:color w:val="000000"/>
        </w:rPr>
        <w:t>metafantastic</w:t>
      </w:r>
      <w:proofErr w:type="spellEnd"/>
      <w:r w:rsidRPr="009709AA">
        <w:rPr>
          <w:rFonts w:eastAsia="Times New Roman" w:cstheme="minorHAnsi"/>
          <w:color w:val="000000"/>
        </w:rPr>
        <w:t xml:space="preserve">, in order to shed light on this living literature that continues to proliferate in our time. </w:t>
      </w:r>
    </w:p>
    <w:p w:rsidR="009709AA" w:rsidRPr="009709AA" w:rsidRDefault="009709AA" w:rsidP="009709AA">
      <w:pPr>
        <w:rPr>
          <w:rFonts w:eastAsia="Times New Roman" w:cstheme="minorHAnsi"/>
          <w:color w:val="000000"/>
        </w:rPr>
      </w:pPr>
    </w:p>
    <w:p w:rsidR="009709AA" w:rsidRPr="009709AA" w:rsidRDefault="009709AA" w:rsidP="009709AA">
      <w:pPr>
        <w:rPr>
          <w:rFonts w:eastAsia="Times New Roman" w:cstheme="minorHAnsi"/>
          <w:color w:val="000000"/>
        </w:rPr>
      </w:pPr>
      <w:r w:rsidRPr="009709AA">
        <w:rPr>
          <w:rFonts w:eastAsia="Times New Roman" w:cstheme="minorHAnsi"/>
          <w:color w:val="000000"/>
        </w:rPr>
        <w:t xml:space="preserve">We will read a balance of literature and theory. Representative authors will include </w:t>
      </w:r>
      <w:proofErr w:type="spellStart"/>
      <w:r w:rsidRPr="009709AA">
        <w:rPr>
          <w:rFonts w:eastAsia="Times New Roman" w:cstheme="minorHAnsi"/>
          <w:color w:val="000000"/>
        </w:rPr>
        <w:t>LeGuin</w:t>
      </w:r>
      <w:proofErr w:type="spellEnd"/>
      <w:r w:rsidRPr="009709AA">
        <w:rPr>
          <w:rFonts w:eastAsia="Times New Roman" w:cstheme="minorHAnsi"/>
          <w:color w:val="000000"/>
        </w:rPr>
        <w:t>, Tolkien, and Dunsany. We will read the full complement of theorists and their theories. Assignments will include a book review, story analysis, abstract, and research paper.</w:t>
      </w:r>
    </w:p>
    <w:p w:rsidR="009A4708" w:rsidRDefault="009A4708" w:rsidP="009A4708">
      <w:pPr>
        <w:rPr>
          <w:rFonts w:eastAsia="Times New Roman" w:cstheme="minorHAnsi"/>
          <w:color w:val="000000"/>
        </w:rPr>
      </w:pPr>
      <w:r w:rsidRPr="00697CCA">
        <w:rPr>
          <w:rFonts w:eastAsia="Times New Roman" w:cstheme="minorHAnsi"/>
          <w:i/>
          <w:iCs/>
          <w:color w:val="000000"/>
        </w:rPr>
        <w:t>This course counts toward the Science Fiction and Fantasy concentration.</w:t>
      </w:r>
      <w:r w:rsidRPr="00697CCA">
        <w:rPr>
          <w:rFonts w:eastAsia="Times New Roman" w:cstheme="minorHAnsi"/>
          <w:color w:val="000000"/>
        </w:rPr>
        <w:t xml:space="preserve"> </w:t>
      </w:r>
    </w:p>
    <w:p w:rsidR="00697CCA" w:rsidRPr="00697CCA" w:rsidRDefault="00697CCA">
      <w:pPr>
        <w:rPr>
          <w:rFonts w:cstheme="minorHAnsi"/>
          <w:b/>
        </w:rPr>
      </w:pPr>
    </w:p>
    <w:p w:rsidR="006B32B1" w:rsidRPr="00697CCA" w:rsidRDefault="006B32B1">
      <w:pPr>
        <w:rPr>
          <w:rFonts w:cstheme="minorHAnsi"/>
          <w:b/>
        </w:rPr>
      </w:pPr>
    </w:p>
    <w:p w:rsidR="006B32B1" w:rsidRPr="00697CCA" w:rsidRDefault="006B32B1">
      <w:pPr>
        <w:rPr>
          <w:rFonts w:cstheme="minorHAnsi"/>
          <w:b/>
        </w:rPr>
      </w:pPr>
      <w:r w:rsidRPr="00697CCA">
        <w:rPr>
          <w:rFonts w:cstheme="minorHAnsi"/>
          <w:b/>
        </w:rPr>
        <w:t>ENL 6455: Ghosts of Irish Literature</w:t>
      </w:r>
    </w:p>
    <w:p w:rsidR="006B32B1" w:rsidRDefault="006B32B1">
      <w:pPr>
        <w:rPr>
          <w:rFonts w:cstheme="minorHAnsi"/>
          <w:b/>
        </w:rPr>
      </w:pPr>
      <w:r w:rsidRPr="00697CCA">
        <w:rPr>
          <w:rFonts w:cstheme="minorHAnsi"/>
          <w:b/>
        </w:rPr>
        <w:t>Professor Julieann Ulin</w:t>
      </w:r>
    </w:p>
    <w:p w:rsidR="00697CCA" w:rsidRPr="009A4708" w:rsidRDefault="001438CC" w:rsidP="001438CC">
      <w:pPr>
        <w:pStyle w:val="xmsonormal"/>
        <w:rPr>
          <w:rFonts w:asciiTheme="minorHAnsi" w:hAnsiTheme="minorHAnsi" w:cstheme="minorHAnsi"/>
          <w:shd w:val="clear" w:color="auto" w:fill="FFFFFF"/>
        </w:rPr>
      </w:pPr>
      <w:r w:rsidRPr="001438CC">
        <w:rPr>
          <w:rFonts w:asciiTheme="minorHAnsi" w:hAnsiTheme="minorHAnsi" w:cstheme="minorHAnsi"/>
        </w:rPr>
        <w:t>Writing of conversations he had with the people of Donegal, Ireland in 1936, Ernie O’Malley observed the presence of the dead: “</w:t>
      </w:r>
      <w:r w:rsidRPr="001438CC">
        <w:rPr>
          <w:rFonts w:asciiTheme="minorHAnsi" w:hAnsiTheme="minorHAnsi" w:cstheme="minorHAnsi"/>
          <w:shd w:val="clear" w:color="auto" w:fill="FFFFFF"/>
        </w:rPr>
        <w:t xml:space="preserve">[The people] came back to the subject; spirits, good and bad, left at cockcrow. The dead walked around, there was an acceptance of their presence, no horror and little dread, the wall was thin between their living and their dead.” More popularly, this lack of dread may be seen in a comic song like “Finnegan’s Wake,” where a drop of spilled whisky revives the corpse of the not-quite-dead Tim Finnegan, and in many of the celebratory customs surrounding the Irish wake. This course will investigate the persistence of this permeable boundary in modern and contemporary Irish literature. The range of figures that trouble such divisions include the vampire in Le </w:t>
      </w:r>
      <w:proofErr w:type="spellStart"/>
      <w:r w:rsidRPr="001438CC">
        <w:rPr>
          <w:rFonts w:asciiTheme="minorHAnsi" w:hAnsiTheme="minorHAnsi" w:cstheme="minorHAnsi"/>
          <w:shd w:val="clear" w:color="auto" w:fill="FFFFFF"/>
        </w:rPr>
        <w:t>Fanu’s</w:t>
      </w:r>
      <w:proofErr w:type="spellEnd"/>
      <w:r w:rsidRPr="001438CC">
        <w:rPr>
          <w:rFonts w:asciiTheme="minorHAnsi" w:hAnsiTheme="minorHAnsi" w:cstheme="minorHAnsi"/>
          <w:shd w:val="clear" w:color="auto" w:fill="FFFFFF"/>
        </w:rPr>
        <w:t xml:space="preserve"> </w:t>
      </w:r>
      <w:proofErr w:type="spellStart"/>
      <w:r w:rsidRPr="001438CC">
        <w:rPr>
          <w:rFonts w:asciiTheme="minorHAnsi" w:hAnsiTheme="minorHAnsi" w:cstheme="minorHAnsi"/>
          <w:i/>
          <w:iCs/>
          <w:shd w:val="clear" w:color="auto" w:fill="FFFFFF"/>
        </w:rPr>
        <w:t>Carmilla</w:t>
      </w:r>
      <w:proofErr w:type="spellEnd"/>
      <w:r w:rsidRPr="001438CC">
        <w:rPr>
          <w:rFonts w:asciiTheme="minorHAnsi" w:hAnsiTheme="minorHAnsi" w:cstheme="minorHAnsi"/>
          <w:shd w:val="clear" w:color="auto" w:fill="FFFFFF"/>
        </w:rPr>
        <w:t xml:space="preserve">, the banshees and changelings of Yeats and Gregory’s folklore collections and plays, the drowned ghost in Synge’s </w:t>
      </w:r>
      <w:r w:rsidRPr="001438CC">
        <w:rPr>
          <w:rFonts w:asciiTheme="minorHAnsi" w:hAnsiTheme="minorHAnsi" w:cstheme="minorHAnsi"/>
          <w:i/>
          <w:iCs/>
          <w:shd w:val="clear" w:color="auto" w:fill="FFFFFF"/>
        </w:rPr>
        <w:t xml:space="preserve">Riders to the </w:t>
      </w:r>
      <w:r w:rsidRPr="001438CC">
        <w:rPr>
          <w:rFonts w:asciiTheme="minorHAnsi" w:hAnsiTheme="minorHAnsi" w:cstheme="minorHAnsi"/>
          <w:i/>
          <w:iCs/>
          <w:shd w:val="clear" w:color="auto" w:fill="FFFFFF"/>
        </w:rPr>
        <w:lastRenderedPageBreak/>
        <w:t>Sea</w:t>
      </w:r>
      <w:r w:rsidRPr="001438CC">
        <w:rPr>
          <w:rFonts w:asciiTheme="minorHAnsi" w:hAnsiTheme="minorHAnsi" w:cstheme="minorHAnsi"/>
          <w:shd w:val="clear" w:color="auto" w:fill="FFFFFF"/>
        </w:rPr>
        <w:t xml:space="preserve">, the </w:t>
      </w:r>
      <w:proofErr w:type="spellStart"/>
      <w:r w:rsidRPr="001438CC">
        <w:rPr>
          <w:rFonts w:asciiTheme="minorHAnsi" w:hAnsiTheme="minorHAnsi" w:cstheme="minorHAnsi"/>
          <w:shd w:val="clear" w:color="auto" w:fill="FFFFFF"/>
        </w:rPr>
        <w:t>spectre</w:t>
      </w:r>
      <w:proofErr w:type="spellEnd"/>
      <w:r w:rsidRPr="001438CC">
        <w:rPr>
          <w:rFonts w:asciiTheme="minorHAnsi" w:hAnsiTheme="minorHAnsi" w:cstheme="minorHAnsi"/>
          <w:shd w:val="clear" w:color="auto" w:fill="FFFFFF"/>
        </w:rPr>
        <w:t xml:space="preserve"> of Michael Fury in James Joyce’s “The Dead,” the chatty corpses of </w:t>
      </w:r>
      <w:proofErr w:type="spellStart"/>
      <w:r w:rsidRPr="001438CC">
        <w:rPr>
          <w:rFonts w:asciiTheme="minorHAnsi" w:hAnsiTheme="minorHAnsi" w:cstheme="minorHAnsi"/>
          <w:shd w:val="clear" w:color="auto" w:fill="FFFFFF"/>
        </w:rPr>
        <w:t>Máirtín</w:t>
      </w:r>
      <w:proofErr w:type="spellEnd"/>
      <w:r w:rsidRPr="001438CC">
        <w:rPr>
          <w:rFonts w:asciiTheme="minorHAnsi" w:hAnsiTheme="minorHAnsi" w:cstheme="minorHAnsi"/>
          <w:shd w:val="clear" w:color="auto" w:fill="FFFFFF"/>
        </w:rPr>
        <w:t xml:space="preserve"> Ó </w:t>
      </w:r>
      <w:proofErr w:type="spellStart"/>
      <w:r w:rsidRPr="001438CC">
        <w:rPr>
          <w:rFonts w:asciiTheme="minorHAnsi" w:hAnsiTheme="minorHAnsi" w:cstheme="minorHAnsi"/>
          <w:shd w:val="clear" w:color="auto" w:fill="FFFFFF"/>
        </w:rPr>
        <w:t>Cadhain’s</w:t>
      </w:r>
      <w:proofErr w:type="spellEnd"/>
      <w:r w:rsidRPr="001438CC">
        <w:rPr>
          <w:rFonts w:asciiTheme="minorHAnsi" w:hAnsiTheme="minorHAnsi" w:cstheme="minorHAnsi"/>
          <w:shd w:val="clear" w:color="auto" w:fill="FFFFFF"/>
        </w:rPr>
        <w:t xml:space="preserve"> </w:t>
      </w:r>
      <w:r w:rsidRPr="001438CC">
        <w:rPr>
          <w:rFonts w:asciiTheme="minorHAnsi" w:hAnsiTheme="minorHAnsi" w:cstheme="minorHAnsi"/>
          <w:i/>
          <w:iCs/>
          <w:shd w:val="clear" w:color="auto" w:fill="FFFFFF"/>
        </w:rPr>
        <w:t>The Dirty Dust</w:t>
      </w:r>
      <w:r w:rsidRPr="001438CC">
        <w:rPr>
          <w:rFonts w:asciiTheme="minorHAnsi" w:hAnsiTheme="minorHAnsi" w:cstheme="minorHAnsi"/>
          <w:shd w:val="clear" w:color="auto" w:fill="FFFFFF"/>
        </w:rPr>
        <w:t xml:space="preserve"> and the “bog bodies” preserved in Seamus Heaney’s poems. We will consider these haunted texts in their own right </w:t>
      </w:r>
      <w:r w:rsidRPr="001438CC">
        <w:rPr>
          <w:rFonts w:asciiTheme="minorHAnsi" w:hAnsiTheme="minorHAnsi" w:cstheme="minorHAnsi"/>
        </w:rPr>
        <w:t xml:space="preserve">as well as how they may register an aesthetic response to colonialism, a “lost” language, violence, and gender and sexual politics that enforced invisibility. In addition to its theoretical focus on the intersection between the </w:t>
      </w:r>
      <w:r w:rsidRPr="001438CC">
        <w:rPr>
          <w:rFonts w:asciiTheme="minorHAnsi" w:hAnsiTheme="minorHAnsi" w:cstheme="minorHAnsi"/>
          <w:shd w:val="clear" w:color="auto" w:fill="FFFFFF"/>
        </w:rPr>
        <w:t xml:space="preserve">Irish gothic and the postcolonial, </w:t>
      </w:r>
      <w:r w:rsidRPr="001438CC">
        <w:rPr>
          <w:rFonts w:asciiTheme="minorHAnsi" w:hAnsiTheme="minorHAnsi" w:cstheme="minorHAnsi"/>
        </w:rPr>
        <w:t xml:space="preserve">we will focus on how history may be repressed by external or internal forces and, by contrast, how it might be obsessively remembered, reworked, and resurrected for various ends. Finally, </w:t>
      </w:r>
      <w:r w:rsidRPr="001438CC">
        <w:rPr>
          <w:rFonts w:asciiTheme="minorHAnsi" w:hAnsiTheme="minorHAnsi" w:cstheme="minorHAnsi"/>
          <w:shd w:val="clear" w:color="auto" w:fill="FFFFFF"/>
        </w:rPr>
        <w:t xml:space="preserve">we will examine these texts in light of more recent work by scholars uncovering pasts that have been buried, such as the radical labor and sexual revolutions sublimated by nationalism (Susan Harris), Ireland’s Magdalene Laundries (James Smith), and the </w:t>
      </w:r>
      <w:proofErr w:type="spellStart"/>
      <w:r w:rsidRPr="001438CC">
        <w:rPr>
          <w:rFonts w:asciiTheme="minorHAnsi" w:hAnsiTheme="minorHAnsi" w:cstheme="minorHAnsi"/>
          <w:shd w:val="clear" w:color="auto" w:fill="FFFFFF"/>
        </w:rPr>
        <w:t>Tuam</w:t>
      </w:r>
      <w:proofErr w:type="spellEnd"/>
      <w:r w:rsidRPr="001438CC">
        <w:rPr>
          <w:rFonts w:asciiTheme="minorHAnsi" w:hAnsiTheme="minorHAnsi" w:cstheme="minorHAnsi"/>
          <w:shd w:val="clear" w:color="auto" w:fill="FFFFFF"/>
        </w:rPr>
        <w:t xml:space="preserve"> babies case (Catherine </w:t>
      </w:r>
      <w:proofErr w:type="spellStart"/>
      <w:r w:rsidRPr="001438CC">
        <w:rPr>
          <w:rFonts w:asciiTheme="minorHAnsi" w:hAnsiTheme="minorHAnsi" w:cstheme="minorHAnsi"/>
          <w:shd w:val="clear" w:color="auto" w:fill="FFFFFF"/>
        </w:rPr>
        <w:t>Corless</w:t>
      </w:r>
      <w:proofErr w:type="spellEnd"/>
      <w:r w:rsidRPr="001438CC">
        <w:rPr>
          <w:rFonts w:asciiTheme="minorHAnsi" w:hAnsiTheme="minorHAnsi" w:cstheme="minorHAnsi"/>
          <w:shd w:val="clear" w:color="auto" w:fill="FFFFFF"/>
        </w:rPr>
        <w:t xml:space="preserve">). </w:t>
      </w:r>
      <w:r w:rsidR="00697CCA" w:rsidRPr="00697CCA">
        <w:rPr>
          <w:rFonts w:cstheme="minorHAnsi"/>
          <w:i/>
          <w:color w:val="000000"/>
        </w:rPr>
        <w:t>This class counts toward the Multicultural and World Lit and British Literature concentrations</w:t>
      </w:r>
    </w:p>
    <w:p w:rsidR="00697CCA" w:rsidRPr="00697CCA" w:rsidRDefault="00697CCA">
      <w:pPr>
        <w:rPr>
          <w:rFonts w:cstheme="minorHAnsi"/>
          <w:b/>
        </w:rPr>
      </w:pPr>
    </w:p>
    <w:p w:rsidR="006B32B1" w:rsidRPr="00697CCA" w:rsidRDefault="006B32B1">
      <w:pPr>
        <w:rPr>
          <w:rFonts w:cstheme="minorHAnsi"/>
          <w:b/>
        </w:rPr>
      </w:pPr>
    </w:p>
    <w:p w:rsidR="006B32B1" w:rsidRPr="00697CCA" w:rsidRDefault="006B32B1">
      <w:pPr>
        <w:rPr>
          <w:rFonts w:cstheme="minorHAnsi"/>
          <w:b/>
        </w:rPr>
      </w:pPr>
      <w:r w:rsidRPr="00697CCA">
        <w:rPr>
          <w:rFonts w:cstheme="minorHAnsi"/>
          <w:b/>
        </w:rPr>
        <w:t>ENG 5018:  Literary Criticism 1</w:t>
      </w:r>
    </w:p>
    <w:p w:rsidR="006B32B1" w:rsidRDefault="006B32B1">
      <w:pPr>
        <w:rPr>
          <w:rFonts w:cstheme="minorHAnsi"/>
          <w:b/>
        </w:rPr>
      </w:pPr>
      <w:r w:rsidRPr="00697CCA">
        <w:rPr>
          <w:rFonts w:cstheme="minorHAnsi"/>
          <w:b/>
        </w:rPr>
        <w:t xml:space="preserve">Professor </w:t>
      </w:r>
      <w:r w:rsidR="009A4708">
        <w:rPr>
          <w:rFonts w:cstheme="minorHAnsi"/>
          <w:b/>
        </w:rPr>
        <w:t xml:space="preserve">John Leeds </w:t>
      </w:r>
    </w:p>
    <w:p w:rsidR="009A4708" w:rsidRDefault="009A4708">
      <w:pPr>
        <w:rPr>
          <w:rFonts w:cstheme="minorHAnsi"/>
          <w:b/>
        </w:rPr>
      </w:pPr>
    </w:p>
    <w:p w:rsidR="009A4708" w:rsidRDefault="009A4708">
      <w:pPr>
        <w:rPr>
          <w:rFonts w:ascii="Calibri" w:hAnsi="Calibri" w:cs="Calibri"/>
          <w:color w:val="000000"/>
        </w:rPr>
      </w:pPr>
      <w:r>
        <w:rPr>
          <w:rFonts w:ascii="Calibri" w:hAnsi="Calibri" w:cs="Calibri"/>
          <w:color w:val="000000"/>
        </w:rPr>
        <w:t xml:space="preserve">This course surveys literary-critical theory from Plato to the 18th century. Together we will study the origins of literary criticism in Greek and Roman rhetoric and philosophy, the impact of biblical and vernacular culture on these classical literary models, and the emergence of literary criticism as a self-sufficient intellectual pursuit in the modern world. Central questions to be discussed are as follows: 1) </w:t>
      </w:r>
      <w:proofErr w:type="gramStart"/>
      <w:r>
        <w:rPr>
          <w:rFonts w:ascii="Calibri" w:hAnsi="Calibri" w:cs="Calibri"/>
          <w:color w:val="000000"/>
        </w:rPr>
        <w:t>Is</w:t>
      </w:r>
      <w:proofErr w:type="gramEnd"/>
      <w:r>
        <w:rPr>
          <w:rFonts w:ascii="Calibri" w:hAnsi="Calibri" w:cs="Calibri"/>
          <w:color w:val="000000"/>
        </w:rPr>
        <w:t xml:space="preserve"> the ability to write poetry </w:t>
      </w:r>
      <w:proofErr w:type="spellStart"/>
      <w:r>
        <w:rPr>
          <w:rFonts w:ascii="Calibri" w:hAnsi="Calibri" w:cs="Calibri"/>
          <w:color w:val="000000"/>
        </w:rPr>
        <w:t>an</w:t>
      </w:r>
      <w:proofErr w:type="spellEnd"/>
      <w:r>
        <w:rPr>
          <w:rFonts w:ascii="Calibri" w:hAnsi="Calibri" w:cs="Calibri"/>
          <w:color w:val="000000"/>
        </w:rPr>
        <w:t xml:space="preserve"> externally-bestowed gift or an acquired skill? 2) Does literature imitate reality or create an alternate reality? 3) Do writers have a responsibility for the moral betterment of their audiences, or not? 4) When and within what limits is literature to be read allegorically? Authors considered will include Plato, Aristotle, Longinus, Augustine, Averroes, Dante, Sidney, Pope, and Johnson.</w:t>
      </w:r>
    </w:p>
    <w:p w:rsidR="00697CCA" w:rsidRPr="00697CCA" w:rsidRDefault="00697CCA" w:rsidP="00697CCA">
      <w:pPr>
        <w:rPr>
          <w:rFonts w:eastAsia="Times New Roman" w:cstheme="minorHAnsi"/>
          <w:color w:val="000000"/>
        </w:rPr>
      </w:pPr>
      <w:r w:rsidRPr="00697CCA">
        <w:rPr>
          <w:rFonts w:cstheme="minorHAnsi"/>
          <w:i/>
        </w:rPr>
        <w:t>This is one of two required courses (you can take either ENG 5018 OR ENG 5019)</w:t>
      </w:r>
    </w:p>
    <w:p w:rsidR="00697CCA" w:rsidRPr="00697CCA" w:rsidRDefault="00697CCA">
      <w:pPr>
        <w:rPr>
          <w:rFonts w:cstheme="minorHAnsi"/>
          <w:b/>
        </w:rPr>
      </w:pPr>
    </w:p>
    <w:sectPr w:rsidR="00697CCA" w:rsidRPr="00697CCA" w:rsidSect="002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52"/>
    <w:rsid w:val="000D67C7"/>
    <w:rsid w:val="001438CC"/>
    <w:rsid w:val="0017181D"/>
    <w:rsid w:val="00221CCF"/>
    <w:rsid w:val="002970EE"/>
    <w:rsid w:val="004347C9"/>
    <w:rsid w:val="00697CCA"/>
    <w:rsid w:val="006B32B1"/>
    <w:rsid w:val="009709AA"/>
    <w:rsid w:val="009A4708"/>
    <w:rsid w:val="00A176B3"/>
    <w:rsid w:val="00D34E52"/>
    <w:rsid w:val="00D8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405D"/>
  <w15:chartTrackingRefBased/>
  <w15:docId w15:val="{40CCB4FA-BAA2-6245-9803-32D296E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7CCA"/>
    <w:rPr>
      <w:i/>
      <w:iCs/>
    </w:rPr>
  </w:style>
  <w:style w:type="paragraph" w:customStyle="1" w:styleId="xmsonormal">
    <w:name w:val="x_msonormal"/>
    <w:basedOn w:val="Normal"/>
    <w:rsid w:val="001438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5283">
      <w:bodyDiv w:val="1"/>
      <w:marLeft w:val="0"/>
      <w:marRight w:val="0"/>
      <w:marTop w:val="0"/>
      <w:marBottom w:val="0"/>
      <w:divBdr>
        <w:top w:val="none" w:sz="0" w:space="0" w:color="auto"/>
        <w:left w:val="none" w:sz="0" w:space="0" w:color="auto"/>
        <w:bottom w:val="none" w:sz="0" w:space="0" w:color="auto"/>
        <w:right w:val="none" w:sz="0" w:space="0" w:color="auto"/>
      </w:divBdr>
    </w:div>
    <w:div w:id="615018113">
      <w:bodyDiv w:val="1"/>
      <w:marLeft w:val="0"/>
      <w:marRight w:val="0"/>
      <w:marTop w:val="0"/>
      <w:marBottom w:val="0"/>
      <w:divBdr>
        <w:top w:val="none" w:sz="0" w:space="0" w:color="auto"/>
        <w:left w:val="none" w:sz="0" w:space="0" w:color="auto"/>
        <w:bottom w:val="none" w:sz="0" w:space="0" w:color="auto"/>
        <w:right w:val="none" w:sz="0" w:space="0" w:color="auto"/>
      </w:divBdr>
    </w:div>
    <w:div w:id="803931802">
      <w:bodyDiv w:val="1"/>
      <w:marLeft w:val="0"/>
      <w:marRight w:val="0"/>
      <w:marTop w:val="0"/>
      <w:marBottom w:val="0"/>
      <w:divBdr>
        <w:top w:val="none" w:sz="0" w:space="0" w:color="auto"/>
        <w:left w:val="none" w:sz="0" w:space="0" w:color="auto"/>
        <w:bottom w:val="none" w:sz="0" w:space="0" w:color="auto"/>
        <w:right w:val="none" w:sz="0" w:space="0" w:color="auto"/>
      </w:divBdr>
    </w:div>
    <w:div w:id="831920003">
      <w:bodyDiv w:val="1"/>
      <w:marLeft w:val="0"/>
      <w:marRight w:val="0"/>
      <w:marTop w:val="0"/>
      <w:marBottom w:val="0"/>
      <w:divBdr>
        <w:top w:val="none" w:sz="0" w:space="0" w:color="auto"/>
        <w:left w:val="none" w:sz="0" w:space="0" w:color="auto"/>
        <w:bottom w:val="none" w:sz="0" w:space="0" w:color="auto"/>
        <w:right w:val="none" w:sz="0" w:space="0" w:color="auto"/>
      </w:divBdr>
      <w:divsChild>
        <w:div w:id="1034387006">
          <w:marLeft w:val="720"/>
          <w:marRight w:val="0"/>
          <w:marTop w:val="0"/>
          <w:marBottom w:val="0"/>
          <w:divBdr>
            <w:top w:val="none" w:sz="0" w:space="0" w:color="auto"/>
            <w:left w:val="none" w:sz="0" w:space="0" w:color="auto"/>
            <w:bottom w:val="none" w:sz="0" w:space="0" w:color="auto"/>
            <w:right w:val="none" w:sz="0" w:space="0" w:color="auto"/>
          </w:divBdr>
        </w:div>
        <w:div w:id="1215191383">
          <w:marLeft w:val="0"/>
          <w:marRight w:val="0"/>
          <w:marTop w:val="0"/>
          <w:marBottom w:val="0"/>
          <w:divBdr>
            <w:top w:val="none" w:sz="0" w:space="0" w:color="auto"/>
            <w:left w:val="none" w:sz="0" w:space="0" w:color="auto"/>
            <w:bottom w:val="none" w:sz="0" w:space="0" w:color="auto"/>
            <w:right w:val="none" w:sz="0" w:space="0" w:color="auto"/>
          </w:divBdr>
        </w:div>
        <w:div w:id="135493873">
          <w:marLeft w:val="0"/>
          <w:marRight w:val="0"/>
          <w:marTop w:val="0"/>
          <w:marBottom w:val="0"/>
          <w:divBdr>
            <w:top w:val="none" w:sz="0" w:space="0" w:color="auto"/>
            <w:left w:val="none" w:sz="0" w:space="0" w:color="auto"/>
            <w:bottom w:val="none" w:sz="0" w:space="0" w:color="auto"/>
            <w:right w:val="none" w:sz="0" w:space="0" w:color="auto"/>
          </w:divBdr>
        </w:div>
        <w:div w:id="1535579502">
          <w:marLeft w:val="0"/>
          <w:marRight w:val="0"/>
          <w:marTop w:val="0"/>
          <w:marBottom w:val="0"/>
          <w:divBdr>
            <w:top w:val="none" w:sz="0" w:space="0" w:color="auto"/>
            <w:left w:val="none" w:sz="0" w:space="0" w:color="auto"/>
            <w:bottom w:val="none" w:sz="0" w:space="0" w:color="auto"/>
            <w:right w:val="none" w:sz="0" w:space="0" w:color="auto"/>
          </w:divBdr>
        </w:div>
        <w:div w:id="427627159">
          <w:marLeft w:val="0"/>
          <w:marRight w:val="0"/>
          <w:marTop w:val="0"/>
          <w:marBottom w:val="0"/>
          <w:divBdr>
            <w:top w:val="none" w:sz="0" w:space="0" w:color="auto"/>
            <w:left w:val="none" w:sz="0" w:space="0" w:color="auto"/>
            <w:bottom w:val="none" w:sz="0" w:space="0" w:color="auto"/>
            <w:right w:val="none" w:sz="0" w:space="0" w:color="auto"/>
          </w:divBdr>
        </w:div>
        <w:div w:id="1111584447">
          <w:marLeft w:val="0"/>
          <w:marRight w:val="0"/>
          <w:marTop w:val="0"/>
          <w:marBottom w:val="0"/>
          <w:divBdr>
            <w:top w:val="none" w:sz="0" w:space="0" w:color="auto"/>
            <w:left w:val="none" w:sz="0" w:space="0" w:color="auto"/>
            <w:bottom w:val="none" w:sz="0" w:space="0" w:color="auto"/>
            <w:right w:val="none" w:sz="0" w:space="0" w:color="auto"/>
          </w:divBdr>
        </w:div>
      </w:divsChild>
    </w:div>
    <w:div w:id="19605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Sheffield-Gentry</cp:lastModifiedBy>
  <cp:revision>3</cp:revision>
  <dcterms:created xsi:type="dcterms:W3CDTF">2018-03-26T14:54:00Z</dcterms:created>
  <dcterms:modified xsi:type="dcterms:W3CDTF">2018-03-29T19:47:00Z</dcterms:modified>
</cp:coreProperties>
</file>